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Ronda Ibérica</w:t>
      </w:r>
    </w:p>
    <w:p>
      <w:pPr>
        <w:jc w:val="start"/>
      </w:pPr>
      <w:r>
        <w:rPr>
          <w:rFonts w:ascii="Arial" w:hAnsi="Arial" w:eastAsia="Arial" w:cs="Arial"/>
          <w:sz w:val="22.5"/>
          <w:szCs w:val="22.5"/>
          <w:b w:val="1"/>
          <w:bCs w:val="1"/>
        </w:rPr>
        <w:t xml:space="preserve">MT-12059  </w:t>
      </w:r>
      <w:r>
        <w:rPr>
          <w:rFonts w:ascii="Arial" w:hAnsi="Arial" w:eastAsia="Arial" w:cs="Arial"/>
          <w:sz w:val="22.5"/>
          <w:szCs w:val="22.5"/>
        </w:rPr>
        <w:t xml:space="preserve">- Web: </w:t>
      </w:r>
      <w:hyperlink r:id="rId7" w:history="1">
        <w:r>
          <w:rPr>
            <w:color w:val="blue"/>
          </w:rPr>
          <w:t xml:space="preserve">https://viaje.mt/9Z8qY</w:t>
        </w:r>
      </w:hyperlink>
    </w:p>
    <w:p>
      <w:pPr>
        <w:jc w:val="start"/>
      </w:pPr>
      <w:r>
        <w:rPr>
          <w:rFonts w:ascii="Arial" w:hAnsi="Arial" w:eastAsia="Arial" w:cs="Arial"/>
          <w:sz w:val="22.5"/>
          <w:szCs w:val="22.5"/>
          <w:b w:val="1"/>
          <w:bCs w:val="1"/>
        </w:rPr>
        <w:t xml:space="preserve">10 días y 8 noches</w:t>
      </w:r>
    </w:p>
    <w:p>
      <w:pPr>
        <w:jc w:val="start"/>
      </w:pPr>
    </w:p>
    <w:p>
      <w:pPr>
        <w:jc w:val="center"/>
        <w:spacing w:before="450"/>
      </w:pPr>
      <w:r>
        <w:rPr>
          <w:rFonts w:ascii="Arial" w:hAnsi="Arial" w:eastAsia="Arial" w:cs="Arial"/>
          <w:sz w:val="33"/>
          <w:szCs w:val="33"/>
        </w:rPr>
        <w:t xml:space="preserve">Desde $799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7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Abril:  17Mayo:  03,  10,  15,  25Agosto:  12,  14,  16,  23,  28Septiembre:  25Octubre:  02,  16</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Portugal.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Granada, Córdoba, Sevilla, Merida., Lisboa, Fátima.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3hrs. antes de la salida del vuelo trasatlántico con destino a Madrid. Noche a bordo.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Madrid, aeropuerto internacional Adolfo Suárez Madrid – Barajas. Recepción en aeropuerto. Este día se realizará una breve visita panorámica por la ciudad donde conocerán las principales avenidas, plazas y monumentos. Descubrirán lugares tales como la Plaza de España, la Gran Vía, la Fuente de la diosa Cibeles, la Puerta de Alcalá, la famosa plaza de toros de las Ventas, etc. Después continuando por la zona moderna, finalizarán en el Madrid de los Austrias. Encantos como la Plaza Mayor y la Plaza Oriente darán un espectáculo final a este recorrido por la capital de España.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 – GRANADA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por la Autovía Nacional IV y atravesando la Comunidad de Castilla La Mancha entraremos en la región de Andalucía por la provincia de Jaén, también llamada “mar de los olivos”, gracias a sus más de sesenta y seis millones de oliveras. Continuarán hacia Granada. Ciudad inmortalizada por Agustín Lara en el verso “tierra soñada por mí”. Visita a pie por el Barrio del Albaicín es el antiguo barrio árabe donde aún se conserva la magia de su pasado. Realizaremos una parada en el Mirador de San Nicolás, el más emblemático de Granada desde donde se tiene una vista maravillosa de la Alhambra y desde donde podremos realizar hermosas fotos. Continuaremos hacia la capilla Real, Mausoleo de los Reyes Católicos donde se puede apreciar tanto su sencillez como su riqueza. Por la noche propondremos la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espectáculo de Zambra gitana con copa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experiencia única en una bella cueva adaptada para la realización de un espectáculo flamenco de Zambra Gitana, danza de los gitanos de Granada que nos sorprenderá con sus números de cante y baile en un ambiente único (copa incluida).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GRANADA – CÓRDOBA – SEVILLA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visita de La Alhambra (llevar pasaporte para ingresar a la Alhambra) reconocida como Patrimonio de la Humanidad por la UNESCO, uno de los monumentos más visitados de España. Conocerán los Palacios Nazaríes, donde podremos encontrar el famoso Patio de los Leones y la Sala de los Abencerrajes, el Palacio de Carlos V, los Jardines de Generalife, lugar de descanso de los reyes de Granada, donde encontrarán la Acequia Real y los Baños Árabes. A la hora indicada, salida hacia la ciudad de Córdoba. A la llegada realizarán una breve visita a pie por el Barrio de la Judería. Tiempo libre donde podrán realizar excursión opcional. Después continuarán hacia Sevilla.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Nos permitimos informar que, debido a la gran demanda para visitar el conjunto monumental de la Alhambra, y a la restricción de ingreso del número de visitantes por día, es posible que en algunos casos: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Se realice la visita a los jardines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Se realice la visita nocturna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No sea posible realizar la visita y en su lugar se visite la Mezquita-Catedral de Córdoba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Visita la Mezquita – Catedral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Cuya construcción se inició en el siglo VIII, y que es única en el mundo por sus características mostrando tanto la arquitectura de los Omeyas como la combinación de los estilos gótico, renacentista y barroco de la catedral cristiana.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Espectáculo de Flamenco con copa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Saldremos del hotel en autobús hacia el Palacio Andaluz para disfrutar de un espectáculo de música y danza española. Una sensacional puesta en escena de flamenco puro y tradicional interpretado por bailadores, guitarristas, cantadores y palmeros de reconocido prestigio nacional e internacional. La función comenzará con unas alegrías de Cádiz y continuará con el clásico español "Torre del Oro", "Boda de Luis Alonso" y "Sevilla". Acto seguido, tarantos, seguiriyas, soleá, alegrías y cañas toman el tablao flamenco para dar paso a la adaptación flamenca de la ópera "Carmen" (copa incluida). Al finalizar el espectáculo regresaremos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SEVILLA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breve visita de la ciudad donde recorrerán calles, avenidas, plazas y monumentos como: el Parque de María Luisa, sede de la Exposición Iberoamericana de 1929, donde aún conservan pabellones como los de Argentina, Brasil, Colombia y México, los cuales hoy albergan diferentes instituciones. Visitarán la bella Plaza de España, los Jardines de Murillo, el famoso Barrio de Santa Cruz, etc. Tarde libre.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Barco Diurno+ Catedral Sevilla y Barrio de Santa Cruz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Desde las cubiertas panorámicas del barco podremos disfrutar de la ciudad de Sevilla desde el rio Guadalquivir. Embarcamos en la Torre del Oro y desde ahí descubriremos la Isla de la Cartuja, el puente de la Barqueta, el palacio de San Telmo, la antigua fábrica de tabacos, el puente de Triana, las Torres de la Plaza de España, el Monasterio de Santa María de las Cuevas Un paseo inolvidable para descubrir la ciudad desde otra perspectiva. Tras ello visitaremos la imponente catedral de Sevilla, de valor incomparable y marco de las procesiones de Semana Santa mas famosas del mundo. Posteriormente pasearemos por los alrededores, el conocido Barrio de Santa Cruz, donde veremos estrechas y típicas calles con casas señoriales y por supuesto las calesas de caballos.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de Ronda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Comenzamos nuestro recorrido en Ronda, ciudad perteneciente a la provincia de Málaga, en la región de Andalucía. Construída al borde de un espectacular precipicio y cargada de historia, Ronda es un lugar de visita obligada por su historia, su papel en la sangrienta Guerra Civil española, la memoria de visitantes famosos como Hemingway y Orson Welles o su atractivo arquitectónico. Después de la visita regresaremos a nuestro hotel.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SEVILLA – MÉRIDA – LISBOA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Saldremos hacia la ciudad de Mérida recorriendo la Vía de la Plata, antigua calzada romana que atravesaba el oeste de Hispania desde Emérita Augusta hasta Astúrica Augusta, constituyendo además en tiempos más modernos la ruta más importante del Camino de Santiago en su ramal del sur peninsular. Llegada a Mérida y tiempo libre para recorrer su impresionante casco histórico que alberga un gran legado patrimonial de época romano. Posteriormente, continuaremos el viaje hasta llegar a Lisboa.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Conjunto Monumental de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ciudad fue fundada por el emperador Octavio Augusto en el año 25 a.C. con el nombre de Augusta Emerita y se preservan importantes restos arqueológicos de época romana como sus imponentes edificios de espectáculos, viviendas, mausoleos, puentes, acueductos, etc. Vamos a visitar los magníficos edificios de Teatro, Anfiteatro y Circo además de conocer el urbanismo de la ciudad romana con sus calles y viviendas en el área arqueológica de Morería, la Casa del Mitreo y la Alcazaba y áreas funerarias como Los Columbarios y la Cripta de la Basílica de Santa Eulalia.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LISBOA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breve visita panorámica de la ciudad donde recorrerán sus principales avenidas, plazas y monumentos. Conocerán el Monasterio de los Jerónimos, el Barrio de Alfama, la Torre de Belén, etc.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Visita Sintra Cascais y Estoril+ Quinta da Regaleira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Siguiendo a lo largo de la costa del río Tajo, llegaremos a la ciudad de Estoril, donde realizaremos una breve parada en el Casino y los Jardines. Seguimos bordeando la costa hasta llegar a Cascais.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y el Palacio Quinta da Regaleira, perfecto ejemplo de arquitectura romántica diseñada y construida a finales del s XIX; al finalizar la visita regreso a Lisboa.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Espectáculo de Fado con cena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Disfrutaremos de un espectáculo de Fado, música del folclore portugués en un ambiente único. El Fado es el canto a la melancolía con letras profundas y desgarradoras acompañadas de una guitarra (cena y bebidas incluidas).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LISBOA – FÁTIMA –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de Lisboa hacia el norte y pasando por las proximidades de Santarém llegarán a Fátima donde disfrutarán de tiempo libre para visitar uno de los más reconocidos centros de peregrinación del cristianismo, en el que tuvo lugar la aparición de la Virgen a los pastorcitos. Continuarán el viaje entrando en España por la provincia de Cáceres para finalmente llegar 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disfrutar de la ciudad o realizar la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Ciudad de Toledo Medio Día con Catedral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Situada a 70 km de Madrid, es conocida como la “Ciudad Patrimonio de la Humanidad”. Es una ciudadmuseo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MADRID – MÉXICO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al aeropuerto para tomar el vuelo con destino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$ 799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$ 799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$ 1199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Abril: 17  Mayo: 3, 10, 15, 25  Agosto: 16, 23, 28  Septiembre: 25  Octubre: 2, 16</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Agosto: 12, 14</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NOVOTEL MADRID PUENTE DE LA PAZ</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GRANADA</w:t>
            </w:r>
          </w:p>
        </w:tc>
        <w:tc>
          <w:tcPr>
            <w:tcW w:w="5000" w:type="pct"/>
          </w:tcPr>
          <w:p>
            <w:pPr/>
            <w:r>
              <w:rPr>
                <w:rFonts w:ascii="Arial" w:hAnsi="Arial" w:eastAsia="Arial" w:cs="Arial"/>
                <w:color w:val="000000"/>
                <w:sz w:val="18"/>
                <w:szCs w:val="18"/>
              </w:rPr>
              <w:t xml:space="preserve">MACIA MONASTERIO DE LOS BASILIOS</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SEVILLA</w:t>
            </w:r>
          </w:p>
        </w:tc>
        <w:tc>
          <w:tcPr>
            <w:tcW w:w="5000" w:type="pct"/>
          </w:tcPr>
          <w:p>
            <w:pPr/>
            <w:r>
              <w:rPr>
                <w:rFonts w:ascii="Arial" w:hAnsi="Arial" w:eastAsia="Arial" w:cs="Arial"/>
                <w:color w:val="000000"/>
                <w:sz w:val="18"/>
                <w:szCs w:val="18"/>
              </w:rPr>
              <w:t xml:space="preserve">CATALONIA HISPALIS</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PORTUGAL</w:t>
            </w:r>
          </w:p>
        </w:tc>
        <w:tc>
          <w:tcPr>
            <w:tcW w:w="5000" w:type="pct"/>
          </w:tcPr>
          <w:p>
            <w:pPr/>
            <w:r>
              <w:rPr>
                <w:rFonts w:ascii="Arial" w:hAnsi="Arial" w:eastAsia="Arial" w:cs="Arial"/>
                <w:color w:val="000000"/>
                <w:sz w:val="18"/>
                <w:szCs w:val="18"/>
              </w:rPr>
              <w:t xml:space="preserve">LISBOA</w:t>
            </w:r>
          </w:p>
        </w:tc>
        <w:tc>
          <w:tcPr>
            <w:tcW w:w="5000" w:type="pct"/>
          </w:tcPr>
          <w:p>
            <w:pPr/>
            <w:r>
              <w:rPr>
                <w:rFonts w:ascii="Arial" w:hAnsi="Arial" w:eastAsia="Arial" w:cs="Arial"/>
                <w:color w:val="000000"/>
                <w:sz w:val="18"/>
                <w:szCs w:val="18"/>
              </w:rPr>
              <w:t xml:space="preserve">LISBOA CENTRAL PARK</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NOVOTEL MADRID PUENTE DE LA PAZ</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 con Iberia o Aeroméxico</w:t>
      </w:r>
    </w:p>
    <w:p>
      <w:pPr>
        <w:jc w:val="start"/>
      </w:pPr>
      <w:r>
        <w:rPr>
          <w:rFonts w:ascii="Arial" w:hAnsi="Arial" w:eastAsia="Arial" w:cs="Arial"/>
          <w:sz w:val="18"/>
          <w:szCs w:val="18"/>
        </w:rPr>
        <w:t xml:space="preserve">  ● 8 noches de alojamiento en categoría indicada</w:t>
      </w:r>
    </w:p>
    <w:p>
      <w:pPr>
        <w:jc w:val="start"/>
      </w:pPr>
      <w:r>
        <w:rPr>
          <w:rFonts w:ascii="Arial" w:hAnsi="Arial" w:eastAsia="Arial" w:cs="Arial"/>
          <w:sz w:val="18"/>
          <w:szCs w:val="18"/>
        </w:rPr>
        <w:t xml:space="preserve">  ● Desayunos de acuerdo con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con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 Itinerario sujeto a cambio, de acuerdo a su fecha de salida.– El máximo número de habitaciones triples a confirmar en este itinerario es de 2.– Los tours opcionales operaran con un mínimo de 15 pasajeros.– Consultar itinerario 2025.</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https://cdn.mtmedia25.com/contratos/12-mt12059-mt12159.pdf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9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3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9Z8qY"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12-mt12059-mt12159.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2025-11-29T12:51:48-06:00</dcterms:created>
  <dcterms:modified xsi:type="dcterms:W3CDTF">2025-11-29T12:51:48-06:00</dcterms:modified>
</cp:coreProperties>
</file>

<file path=docProps/custom.xml><?xml version="1.0" encoding="utf-8"?>
<Properties xmlns="http://schemas.openxmlformats.org/officeDocument/2006/custom-properties" xmlns:vt="http://schemas.openxmlformats.org/officeDocument/2006/docPropsVTypes"/>
</file>