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MTY</w:t>
      </w:r>
    </w:p>
    <w:p>
      <w:pPr>
        <w:jc w:val="start"/>
      </w:pPr>
      <w:r>
        <w:rPr>
          <w:rFonts w:ascii="Arial" w:hAnsi="Arial" w:eastAsia="Arial" w:cs="Arial"/>
          <w:sz w:val="22.5"/>
          <w:szCs w:val="22.5"/>
          <w:b w:val="1"/>
          <w:bCs w:val="1"/>
        </w:rPr>
        <w:t xml:space="preserve">MT-12305  </w:t>
      </w:r>
      <w:r>
        <w:rPr>
          <w:rFonts w:ascii="Arial" w:hAnsi="Arial" w:eastAsia="Arial" w:cs="Arial"/>
          <w:sz w:val="22.5"/>
          <w:szCs w:val="22.5"/>
        </w:rPr>
        <w:t xml:space="preserve">- Web: </w:t>
      </w:r>
      <w:hyperlink r:id="rId7" w:history="1">
        <w:r>
          <w:rPr>
            <w:color w:val="blue"/>
          </w:rPr>
          <w:t xml:space="preserve">https://viaje.mt/G3utb</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27</w:t>
            </w:r>
          </w:p>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15</w:t>
            </w:r>
          </w:p>
          <w:p>
            <w:pPr>
              <w:jc w:val="start"/>
              <w:spacing w:before="0" w:after="0" w:line="24" w:lineRule="auto"/>
            </w:pPr>
          </w:p>
          <w:p>
            <w:pPr>
              <w:jc w:val="start"/>
            </w:pPr>
            <w:r>
              <w:rPr>
                <w:rFonts w:ascii="Arial" w:hAnsi="Arial" w:eastAsia="Arial" w:cs="Arial"/>
                <w:sz w:val="18"/>
                <w:szCs w:val="18"/>
              </w:rPr>
              <w:t xml:space="preserve">Noviembre:  04,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27  Septiembre: 10  Octubre: 15  Noviembre: 4, 18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 CON AEROMÉXICO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7FC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652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3ut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2025-07-11T08:42:10-06:00</dcterms:created>
  <dcterms:modified xsi:type="dcterms:W3CDTF">2025-07-11T08:42:10-06:00</dcterms:modified>
</cp:coreProperties>
</file>

<file path=docProps/custom.xml><?xml version="1.0" encoding="utf-8"?>
<Properties xmlns="http://schemas.openxmlformats.org/officeDocument/2006/custom-properties" xmlns:vt="http://schemas.openxmlformats.org/officeDocument/2006/docPropsVTypes"/>
</file>