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Fabulosa</w:t>
      </w:r>
    </w:p>
    <w:p>
      <w:pPr>
        <w:jc w:val="start"/>
      </w:pPr>
      <w:r>
        <w:rPr>
          <w:rFonts w:ascii="Arial" w:hAnsi="Arial" w:eastAsia="Arial" w:cs="Arial"/>
          <w:sz w:val="22.5"/>
          <w:szCs w:val="22.5"/>
          <w:b w:val="1"/>
          <w:bCs w:val="1"/>
        </w:rPr>
        <w:t xml:space="preserve">MT-12404  </w:t>
      </w:r>
      <w:r>
        <w:rPr>
          <w:rFonts w:ascii="Arial" w:hAnsi="Arial" w:eastAsia="Arial" w:cs="Arial"/>
          <w:sz w:val="22.5"/>
          <w:szCs w:val="22.5"/>
        </w:rPr>
        <w:t xml:space="preserve">- Web: </w:t>
      </w:r>
      <w:hyperlink r:id="rId7" w:history="1">
        <w:r>
          <w:rPr>
            <w:color w:val="blue"/>
          </w:rPr>
          <w:t xml:space="preserve">https://viaje.mt/HSvGa</w:t>
        </w:r>
      </w:hyperlink>
    </w:p>
    <w:p>
      <w:pPr>
        <w:jc w:val="start"/>
      </w:pPr>
      <w:r>
        <w:rPr>
          <w:rFonts w:ascii="Arial" w:hAnsi="Arial" w:eastAsia="Arial" w:cs="Arial"/>
          <w:sz w:val="22.5"/>
          <w:szCs w:val="22.5"/>
          <w:b w:val="1"/>
          <w:bCs w:val="1"/>
        </w:rPr>
        <w:t xml:space="preserve">12 días y 10 noches</w:t>
      </w:r>
    </w:p>
    <w:p>
      <w:pPr>
        <w:jc w:val="start"/>
      </w:pPr>
    </w:p>
    <w:p>
      <w:pPr>
        <w:jc w:val="center"/>
        <w:spacing w:before="450"/>
      </w:pPr>
      <w:r>
        <w:rPr>
          <w:rFonts w:ascii="Arial" w:hAnsi="Arial" w:eastAsia="Arial" w:cs="Arial"/>
          <w:sz w:val="33"/>
          <w:szCs w:val="33"/>
        </w:rPr>
        <w:t xml:space="preserve">Desde $1299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7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11.2182741116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Junio:  28Agosto:  22</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Francia, Suiza,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París, Reims, Estrasburgo, Zúrich, Lucerna, Venecia, Florencia, San Gimignano, Asis, Roma.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Presentarse en el Aeropuerto Internacional de la Ciudad de Mexico 3 hrs antes para tomar el vuelo trasatlántico con destino a París.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Llegada al aeropuerto internacional en París. Aquí conoceremos a nuestro guía, quien los recibirá. Durante nuestra visita panoramica breve saldremos para recorrer la “ciudad del amor” pasando por la Avenida de los Campos Elíseos, la Plaza de la Concordia, el Arco del Triunfo, la Asamblea Nacional, la Ópera, el Museo del Louvre, los Inválidos, el Campo de Marte, la Torre Eiffel, etc.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Importante: Si el vuelo llega después de las 15:00, la visita panorámica se reprogramará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para el día siguiente en la mañana.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Día libre para realizar actividades personales o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PARÍS – REIMS – ESTRASBURGO</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Salida hacia Estrasburgo, pasando por Reims, la capital de la región de Champagne, famosa por su catedral gótica, la Catedral de Notre-Dame de Reims, donde los reyes de Francia eran coronados. Realizaremos una breve parada para admirar este maravilloso monumento y la encantadora ciudad.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Continuaremos nuestro viaje hacia Estrasburgo, una ciudad que ha logrado preservar su excepcional patrimonio histórico a pesar de las guerras. Con su hermoso centro peatonal, canales pintorescos y barrios tradicionales, Estrasburgo combina lo antiguo con lo moderno de manera impresionante. A la llegada, realizaremos una breve visita panorámica para disfrutar de sus principales atracciones, como la majestuosa Catedral de Estrasburgo y el encantador barrio de La Petite France.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ESTRASBURGO – ZÚRICH</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En la mañana, aprovecha para realizar una excursión opcional para conocer más de la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encantadora Estrasburgo. Por la tarde, nos dirigimos a Zúrich, la vibrante ciudad suiza, famosa por su mezcla de tradición y modernidad, rodeada por el impresionante paisaje alpino.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ZÚRICH – LUCERNA – VENECIA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saldremos de Zúrich, importante centro financiero de Suiza con rumbo a Lucerna, ciudad medieval situada a orillas del Lago de los Cuatro Cantones, famosa por su bello puente de madera, uno de los más antiguos de Europa. Tiempo libre. Luego continuaremos hacia Venecia, la ciudad de los canales y famosa por su gran belleza y preciado arte.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VENECIA – FLORENCIA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tendremos tiempo libre para poder visitar la famosa Plaza San Marcos y sus bellos canales. Venecia declarada Patrimonio de la Humanidad por la UNESCO es una ciudad única en el mundo que te encanta desde el primer momento que la ves. Finalizando el breve recorrido panorámico, tendremos la oportunidad de realizar un tour Opcional. Al terminar, retomaremos camino hacia Florencia, capital de la Toscana y cuna del Renacimiento. Importante ciudad de gloriosa historia, fascinante arte e inigualable arquitectura. Al llegar, tendremos un breve tour panorámico por esta inigualable ciudad capital de la región de Toscana, donde el arte le sorprenderá a cada paso. Recorreremos la Plaza de San Marcos, pasando por delante de la Galería de la Academia y llegando al Mercado de la Paja. Contemplaremos la combinación de hermosos mármoles en la fachada de la Catedral Santa María del Fiore y su inconfundible Campanario de Giotto. También disfrutaremos del Baptisterio y sus célebres Puertas del Paraíso. Nos asomaremos al conocido Ponte Vecchio y llegarán hasta la Plaza de la Santa Croce para admirar la Basílica franciscana del mismo nombre.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FLORENCIA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Dia libre para actividades personales o tener la posibilidad de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FLORENCIA – SAN GIMIGNANO – ASÍS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partiremos hacia San Gimignano, ciudad que destaca entre las bellas e inconfundibles colinas del paisaje toscano gracias a sus 14 torres altas torres medievales. Aquí tendremos tiempo libre. Luego saldremos hacia Asís, aquí tendremos nuestro breve tour panorámico. Visitaremos primero la Basílica de di Santa Maria degli Angeli, pequeña capilla donde San Francisco y sus primeros compañeros fundaron la comunidad franciscana, así como el lugar de fallecimiento del santo. Luego, continuaremos hacia La Basílica di Santa Chiara, la cual fue dedicada y contiene los restos de Santa Clara de Asís, una seguidora de San Francisco y fundadora de la Orden de las Hermanas Pobres. Pasearemos también por el Tempio di Minerva, hecho de mármol blanco, es el monumento romano mejor conservado en donde se ubicaban los mercados y se desarrollaban las actividades principales antiguamente entre otros. Al finalizar, saldremos con dirección a Roma. Resto de la tarde libre para pasear por las mágicas calles de la capital italiana.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realizaremos un breve tour panorámico, donde admiraremos la inconfundible figura del Anfiteatro Flavio, más conocido como “El Coliseo”. Pasaremos también por el Circo Máximo y la Basílica patriarcal de Santa María la Mayor. A continuación, atravesando el río Tíber, llegaremos al Vaticano. Tarde libre para poder realizar actividades opcionales.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tener la posibilidad de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ROMA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se procederá con el check-out del hotel y traslado al aeropuerto internacional en Roma, para tomar el vuelo con destino a la Ciudad de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-Consultar itinerario de acuerdo a su fecha de salida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-Este itinerario está sujeto a posibles ajustes derivados de la programación de 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$ 1299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$ 1299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$ 1999</w:t>
            </w:r>
          </w:p>
        </w:tc>
      </w:tr>
      <w:tr>
        <w:trPr/>
        <w:tc>
          <w:tcPr>
            <w:tcW w:w="5000" w:type="pct"/>
          </w:tcPr>
          <w:p>
            <w:pPr/>
            <w:r>
              <w:rPr>
                <w:rFonts w:ascii="Arial" w:hAnsi="Arial" w:eastAsia="Arial" w:cs="Arial"/>
                <w:color w:val="000000"/>
                <w:sz w:val="18"/>
                <w:szCs w:val="18"/>
              </w:rPr>
              <w:t xml:space="preserve">Menor</w:t>
            </w:r>
          </w:p>
        </w:tc>
        <w:tc>
          <w:tcPr>
            <w:tcW w:w="5000" w:type="pct"/>
          </w:tcPr>
          <w:p>
            <w:pPr/>
            <w:r>
              <w:rPr>
                <w:rFonts w:ascii="Arial" w:hAnsi="Arial" w:eastAsia="Arial" w:cs="Arial"/>
                <w:color w:val="000000"/>
                <w:sz w:val="18"/>
                <w:szCs w:val="18"/>
              </w:rPr>
              <w:t xml:space="preserve">$ 1199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Agosto: 22</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Junio: 28</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Hampton By Hilton Paris Clichy // Novotel Paris Est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Suiza</w:t>
            </w:r>
          </w:p>
        </w:tc>
        <w:tc>
          <w:tcPr>
            <w:tcW w:w="5000" w:type="pct"/>
          </w:tcPr>
          <w:p>
            <w:pPr/>
            <w:r>
              <w:rPr>
                <w:rFonts w:ascii="Arial" w:hAnsi="Arial" w:eastAsia="Arial" w:cs="Arial"/>
                <w:color w:val="000000"/>
                <w:sz w:val="18"/>
                <w:szCs w:val="18"/>
              </w:rPr>
              <w:t xml:space="preserve">Zurich</w:t>
            </w:r>
          </w:p>
        </w:tc>
        <w:tc>
          <w:tcPr>
            <w:tcW w:w="5000" w:type="pct"/>
          </w:tcPr>
          <w:p>
            <w:pPr/>
            <w:r>
              <w:rPr>
                <w:rFonts w:ascii="Arial" w:hAnsi="Arial" w:eastAsia="Arial" w:cs="Arial"/>
                <w:color w:val="000000"/>
                <w:sz w:val="18"/>
                <w:szCs w:val="18"/>
              </w:rPr>
              <w:t xml:space="preserve">Ibis Airport Messe // Jet Hotel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Lh Hotel Sirio Venice // Novotel Venece Mestre Castellana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Datini Hotel // Hotel Mirage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Barcelo Occidental Aran Park // Ibis Styles Roma Vintage O Similar</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París / Roma - México volando en clase turista.</w:t>
      </w:r>
    </w:p>
    <w:p>
      <w:pPr>
        <w:jc w:val="start"/>
      </w:pPr>
      <w:r>
        <w:rPr>
          <w:rFonts w:ascii="Arial" w:hAnsi="Arial" w:eastAsia="Arial" w:cs="Arial"/>
          <w:sz w:val="18"/>
          <w:szCs w:val="18"/>
        </w:rPr>
        <w:t xml:space="preserve">  ● 10 noches de alojamiento en categoría indicada.</w:t>
      </w:r>
    </w:p>
    <w:p>
      <w:pPr>
        <w:jc w:val="start"/>
      </w:pPr>
      <w:r>
        <w:rPr>
          <w:rFonts w:ascii="Arial" w:hAnsi="Arial" w:eastAsia="Arial" w:cs="Arial"/>
          <w:sz w:val="18"/>
          <w:szCs w:val="18"/>
        </w:rPr>
        <w:t xml:space="preserve">  ● Régimen alimenticio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Todas las excursiones que se mencionan como opcionales.</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45 EUR que corresponden a propinas para guías acompañantes, choferes, tasas municipales, se paga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both"/>
      </w:pPr>
      <w:r>
        <w:rPr>
          <w:rFonts w:ascii="Arial" w:hAnsi="Arial" w:eastAsia="Arial" w:cs="Arial"/>
          <w:sz w:val="18"/>
          <w:szCs w:val="18"/>
        </w:rPr>
        <w:t xml:space="preserve">- Precios indicados en USD, pagaderos en Moneda Nacional al tipo de cambio del día.- El precio de menor se considera entre 2 a 11 años y aplica solo compartiendo habitación con 2 adultos. La habitación lleva una cama supletoria (rollaway bed), si el menor tiene más de 2 años al regreso del viaje, ya paga boleto de avión, favor de consultar la tarifa con su ejecutivo.- Itinerario sujeto a cambio, de acuerdo a su fecha de salida.- Este paquete está basado en hoteles turista 3*, si está interesado en una mejor categoría, favor de consultar nuestra sección de programas premium o regulares.</w:t>
      </w:r>
    </w:p>
    <w:p>
      <w:pPr>
        <w:jc w:val="both"/>
      </w:pPr>
      <w:r>
        <w:rPr>
          <w:rFonts w:ascii="Arial" w:hAnsi="Arial" w:eastAsia="Arial" w:cs="Arial"/>
          <w:sz w:val="19.199999999999999289457264239899814128875732421875"/>
          <w:szCs w:val="19.199999999999999289457264239899814128875732421875"/>
          <w:b w:val="1"/>
          <w:bCs w:val="1"/>
        </w:rPr>
        <w:t xml:space="preserve">NOTAS DE HOTELES</w:t>
      </w:r>
    </w:p>
    <w:p>
      <w:pPr>
        <w:jc w:val="start"/>
      </w:pPr>
      <w:r>
        <w:rPr>
          <w:rFonts w:ascii="Arial" w:hAnsi="Arial" w:eastAsia="Arial" w:cs="Arial"/>
          <w:sz w:val="18"/>
          <w:szCs w:val="18"/>
        </w:rPr>
        <w:t xml:space="preserve">Habitaciones con dos camas: Si usted necesita habitación con dos camas, las mismas deben ser solicitadas desde el inicio de su reserva la cual deberá mencionar acomodo TWIN.</w:t>
      </w:r>
    </w:p>
    <w:p>
      <w:pPr>
        <w:jc w:val="start"/>
      </w:pPr>
      <w:r>
        <w:rPr>
          <w:rFonts w:ascii="Arial" w:hAnsi="Arial" w:eastAsia="Arial" w:cs="Arial"/>
          <w:sz w:val="19.199999999999999289457264239899814128875732421875"/>
          <w:szCs w:val="19.199999999999999289457264239899814128875732421875"/>
        </w:rPr>
        <w:t xml:space="preserve">Habitaciones Triples: Las habitaciones triples están compuestas de una cama matrimonial más una cama suplementaria (rollaway)ó sofá cama, las habitaciones triples no se recomiendan para Adultos, Cuando hay menores en compañía de sus padres se requiere solicitar ocupacion en triple.</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0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D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HSvGa"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mega-travel-operadora-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2025-12-02T18:26:08-06:00</dcterms:created>
  <dcterms:modified xsi:type="dcterms:W3CDTF">2025-12-02T18:26:08-06:00</dcterms:modified>
</cp:coreProperties>
</file>

<file path=docProps/custom.xml><?xml version="1.0" encoding="utf-8"?>
<Properties xmlns="http://schemas.openxmlformats.org/officeDocument/2006/custom-properties" xmlns:vt="http://schemas.openxmlformats.org/officeDocument/2006/docPropsVTypes"/>
</file>