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Imperial</w:t>
      </w:r>
    </w:p>
    <w:p>
      <w:pPr>
        <w:jc w:val="start"/>
      </w:pPr>
      <w:r>
        <w:rPr>
          <w:rFonts w:ascii="Arial" w:hAnsi="Arial" w:eastAsia="Arial" w:cs="Arial"/>
          <w:sz w:val="22.5"/>
          <w:szCs w:val="22.5"/>
          <w:b w:val="1"/>
          <w:bCs w:val="1"/>
        </w:rPr>
        <w:t xml:space="preserve">MT-14101  </w:t>
      </w:r>
      <w:r>
        <w:rPr>
          <w:rFonts w:ascii="Arial" w:hAnsi="Arial" w:eastAsia="Arial" w:cs="Arial"/>
          <w:sz w:val="22.5"/>
          <w:szCs w:val="22.5"/>
        </w:rPr>
        <w:t xml:space="preserve">- Web: </w:t>
      </w:r>
      <w:hyperlink r:id="rId7" w:history="1">
        <w:r>
          <w:rPr>
            <w:color w:val="blue"/>
          </w:rPr>
          <w:t xml:space="preserve">https://viaje.mt/g84QN</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Berlín - Tegel.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 y los restos del muro que dividía la ciudad hasta 1989.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monumental casco histórico de Dresden.</w:t>
      </w:r>
    </w:p>
    <w:p>
      <w:pPr>
        <w:jc w:val="both"/>
      </w:pPr>
      <w:r>
        <w:rPr>
          <w:rFonts w:ascii="Arial" w:hAnsi="Arial" w:eastAsia="Arial" w:cs="Arial"/>
          <w:sz w:val="18"/>
          <w:szCs w:val="18"/>
        </w:rPr>
        <w:t xml:space="preserve">***Nota: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Colina del Castillo, para visitar el interior de la Catedral de San Vito, la calle dorada, Palacio Imperial, visitaremos la Iglesia de Santa Maria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folclórica húngara,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w:t>
      </w:r>
    </w:p>
    <w:p>
      <w:pPr>
        <w:jc w:val="both"/>
      </w:pPr>
      <w:r>
        <w:rPr>
          <w:rFonts w:ascii="Arial" w:hAnsi="Arial" w:eastAsia="Arial" w:cs="Arial"/>
          <w:sz w:val="18"/>
          <w:szCs w:val="18"/>
        </w:rPr>
        <w:t xml:space="preserve">***Nota: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2025-08-25 Hasta 2025-10-27</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$2320</w:t>
            </w:r>
          </w:p>
        </w:tc>
        <w:tc>
          <w:tcPr>
            <w:tcW w:w="5000" w:type="pct"/>
          </w:tcPr>
          <w:p>
            <w:pPr/>
            <w:r>
              <w:rPr>
                <w:rFonts w:ascii="Arial" w:hAnsi="Arial" w:eastAsia="Arial" w:cs="Arial"/>
                <w:color w:val="000000"/>
                <w:sz w:val="18"/>
                <w:szCs w:val="18"/>
              </w:rPr>
              <w:t xml:space="preserve">$1170</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2025-08-18</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$2270</w:t>
            </w:r>
          </w:p>
        </w:tc>
        <w:tc>
          <w:tcPr>
            <w:tcW w:w="5000" w:type="pct"/>
          </w:tcPr>
          <w:p>
            <w:pPr/>
            <w:r>
              <w:rPr>
                <w:rFonts w:ascii="Arial" w:hAnsi="Arial" w:eastAsia="Arial" w:cs="Arial"/>
                <w:color w:val="000000"/>
                <w:sz w:val="18"/>
                <w:szCs w:val="18"/>
              </w:rPr>
              <w:t xml:space="preserve">$1133</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2026-03-16</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$2190</w:t>
            </w:r>
          </w:p>
        </w:tc>
        <w:tc>
          <w:tcPr>
            <w:tcW w:w="5000" w:type="pct"/>
          </w:tcPr>
          <w:p>
            <w:pPr/>
            <w:r>
              <w:rPr>
                <w:rFonts w:ascii="Arial" w:hAnsi="Arial" w:eastAsia="Arial" w:cs="Arial"/>
                <w:color w:val="000000"/>
                <w:sz w:val="18"/>
                <w:szCs w:val="18"/>
              </w:rPr>
              <w:t xml:space="preserve">$1073</w:t>
            </w:r>
          </w:p>
        </w:tc>
      </w:tr>
    </w:tbl>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$72</w:t>
            </w:r>
          </w:p>
        </w:tc>
        <w:tc>
          <w:tcPr>
            <w:tcW w:w="5000" w:type="pct"/>
          </w:tcPr>
          <w:p>
            <w:pPr/>
            <w:r>
              <w:rPr>
                <w:rFonts w:ascii="Arial" w:hAnsi="Arial" w:eastAsia="Arial" w:cs="Arial"/>
                <w:color w:val="000000"/>
                <w:sz w:val="18"/>
                <w:szCs w:val="18"/>
              </w:rPr>
              <w:t xml:space="preserve">$144</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p>
    <w:p>
      <w:pPr>
        <w:jc w:val="start"/>
      </w:pPr>
      <w:r>
        <w:rPr>
          <w:rFonts w:ascii="Arial" w:hAnsi="Arial" w:eastAsia="Arial" w:cs="Arial"/>
          <w:color w:val="000000"/>
          <w:sz w:val="19.199999999999999289457264239899814128875732421875"/>
          <w:szCs w:val="19.199999999999999289457264239899814128875732421875"/>
        </w:rPr>
        <w:t xml:space="preserve">– Consultar</w:t>
      </w:r>
    </w:p>
    <w:p>
      <w:pPr>
        <w:jc w:val="start"/>
      </w:pPr>
      <w:r>
        <w:rPr>
          <w:rFonts w:ascii="Arial" w:hAnsi="Arial" w:eastAsia="Arial" w:cs="Arial"/>
          <w:color w:val="000000"/>
          <w:sz w:val="19.199999999999999289457264239899814128875732421875"/>
          <w:szCs w:val="19.199999999999999289457264239899814128875732421875"/>
        </w:rPr>
        <w:t xml:space="preserve"> precio de la salida de interés, precio sujeto a cambio de acuerdo a</w:t>
      </w:r>
    </w:p>
    <w:p>
      <w:pPr>
        <w:jc w:val="start"/>
      </w:pPr>
      <w:r>
        <w:rPr>
          <w:rFonts w:ascii="Arial" w:hAnsi="Arial" w:eastAsia="Arial" w:cs="Arial"/>
          <w:color w:val="000000"/>
          <w:sz w:val="19.199999999999999289457264239899814128875732421875"/>
          <w:szCs w:val="19.199999999999999289457264239899814128875732421875"/>
        </w:rPr>
        <w:t xml:space="preserve"> la fecha de salida</w:t>
      </w:r>
    </w:p>
    <w:p>
      <w:pPr>
        <w:jc w:val="start"/>
      </w:pPr>
      <w:r>
        <w:rPr>
          <w:rFonts w:ascii="Var(--bs-body-font-family)" w:hAnsi="Var(--bs-body-font-family)" w:eastAsia="Var(--bs-body-font-family)" w:cs="Var(--bs-body-font-family)"/>
          <w:color w:val="var(--bs-body-color)"/>
          <w:sz w:val="18"/>
          <w:szCs w:val="18"/>
          <w:b w:val="0"/>
          <w:bCs w:val="0"/>
        </w:rPr>
        <w:t xml:space="preserve">– Este programa corresponde a una salida REGULAR (No es un bloqueo) por lo tanto los precios expresados en esta cotización están sujetos a CAMBIOS Y DISPONIBILIDAD hasta no recibir una confirmación de servicios.</w:t>
      </w:r>
    </w:p>
    <w:p>
      <w:pPr>
        <w:jc w:val="start"/>
      </w:pPr>
      <w:r>
        <w:rPr>
          <w:rFonts w:ascii="Arial" w:hAnsi="Arial" w:eastAsia="Arial" w:cs="Arial"/>
          <w:color w:val="000000"/>
          <w:sz w:val="19.199999999999999289457264239899814128875732421875"/>
          <w:szCs w:val="19.199999999999999289457264239899814128875732421875"/>
        </w:rPr>
        <w:t xml:space="preserve">– Los suplementos</w:t>
      </w:r>
    </w:p>
    <w:p>
      <w:pPr>
        <w:jc w:val="start"/>
      </w:pPr>
      <w:r>
        <w:rPr>
          <w:rFonts w:ascii="Arial" w:hAnsi="Arial" w:eastAsia="Arial" w:cs="Arial"/>
          <w:color w:val="000000"/>
          <w:sz w:val="19.199999999999999289457264239899814128875732421875"/>
          <w:szCs w:val="19.199999999999999289457264239899814128875732421875"/>
        </w:rPr>
        <w:t xml:space="preserve"> son orientativos y corresponden a un desde, USTED deberá recibir una confirmación para tener los suplementos o PRECIO</w:t>
      </w:r>
    </w:p>
    <w:p>
      <w:pPr>
        <w:jc w:val="start"/>
      </w:pPr>
      <w:r>
        <w:rPr>
          <w:rFonts w:ascii="Arial" w:hAnsi="Arial" w:eastAsia="Arial" w:cs="Arial"/>
          <w:color w:val="000000"/>
          <w:sz w:val="19.199999999999999289457264239899814128875732421875"/>
          <w:szCs w:val="19.199999999999999289457264239899814128875732421875"/>
        </w:rPr>
        <w:t xml:space="preserve"> TOTAL que corresponda a la fecha solicitada</w:t>
      </w:r>
    </w:p>
    <w:p>
      <w:pPr>
        <w:jc w:val="start"/>
      </w:pPr>
      <w:r>
        <w:rPr>
          <w:rFonts w:ascii="Arial" w:hAnsi="Arial" w:eastAsia="Arial" w:cs="Arial"/>
          <w:color w:val="000000"/>
          <w:sz w:val="19.199999999999999289457264239899814128875732421875"/>
          <w:szCs w:val="19.199999999999999289457264239899814128875732421875"/>
        </w:rPr>
        <w:t xml:space="preserve">– Itinerario sujeto a cambio, de acuerdo con su fecha de salida.</w:t>
      </w:r>
    </w:p>
    <w:p>
      <w:pPr>
        <w:jc w:val="start"/>
      </w:pPr>
      <w:r>
        <w:rPr>
          <w:rFonts w:ascii="Arial" w:hAnsi="Arial" w:eastAsia="Arial" w:cs="Arial"/>
          <w:color w:val="000000"/>
          <w:sz w:val="19.199999999999999289457264239899814128875732421875"/>
          <w:szCs w:val="19.199999999999999289457264239899814128875732421875"/>
        </w:rPr>
        <w:t xml:space="preserve">– 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color w:val="000000"/>
          <w:sz w:val="19.199999999999999289457264239899814128875732421875"/>
          <w:szCs w:val="19.199999999999999289457264239899814128875732421875"/>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Ac Berlin Humboldthain Park-</w:t>
            </w:r>
            <w:r>
              <w:rPr>
                <w:rFonts w:ascii="Arial" w:hAnsi="Arial" w:eastAsia="Arial" w:cs="Arial"/>
                <w:color w:val="000000"/>
                <w:sz w:val="18"/>
                <w:szCs w:val="18"/>
              </w:rPr>
              <w:t xml:space="preserve">Innside by Meliá Berlin Mitte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16/03/2026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México.</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Var(--bs-body-font-family)" w:hAnsi="Var(--bs-body-font-family)" w:eastAsia="Var(--bs-body-font-family)" w:cs="Var(--bs-body-font-family)"/>
          <w:color w:val="var(--bs-body-color)"/>
          <w:sz w:val="18"/>
          <w:szCs w:val="18"/>
          <w:b w:val="0"/>
          <w:bCs w:val="0"/>
        </w:rPr>
        <w:t xml:space="preserve">Habitaciones con dos camas: Si usted necesita habitación con dos camas, las mismas deben ser solicitadas desde el inicio de su reserva la cual deberá mencionar acomodo TWIN.</w:t>
      </w:r>
    </w:p>
    <w:p>
      <w:pPr>
        <w:jc w:val="start"/>
      </w:pPr>
      <w:r>
        <w:rPr>
          <w:rFonts w:ascii="Var(--bs-body-font-family)" w:hAnsi="Var(--bs-body-font-family)" w:eastAsia="Var(--bs-body-font-family)" w:cs="Var(--bs-body-font-family)"/>
          <w:color w:val="var(--bs-body-color)"/>
          <w:b w:val="0"/>
          <w:bCs w:val="0"/>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9ED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5CA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84QN"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2025-07-09T15:22:53-06:00</dcterms:created>
  <dcterms:modified xsi:type="dcterms:W3CDTF">2025-07-09T15:22:53-06:00</dcterms:modified>
</cp:coreProperties>
</file>

<file path=docProps/custom.xml><?xml version="1.0" encoding="utf-8"?>
<Properties xmlns="http://schemas.openxmlformats.org/officeDocument/2006/custom-properties" xmlns:vt="http://schemas.openxmlformats.org/officeDocument/2006/docPropsVTypes"/>
</file>