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Total C</w:t>
      </w:r>
    </w:p>
    <w:p>
      <w:pPr>
        <w:jc w:val="start"/>
      </w:pPr>
      <w:r>
        <w:rPr>
          <w:rFonts w:ascii="Arial" w:hAnsi="Arial" w:eastAsia="Arial" w:cs="Arial"/>
          <w:sz w:val="22.5"/>
          <w:szCs w:val="22.5"/>
          <w:b w:val="1"/>
          <w:bCs w:val="1"/>
        </w:rPr>
        <w:t xml:space="preserve">MT-14170  </w:t>
      </w:r>
      <w:r>
        <w:rPr>
          <w:rFonts w:ascii="Arial" w:hAnsi="Arial" w:eastAsia="Arial" w:cs="Arial"/>
          <w:sz w:val="22.5"/>
          <w:szCs w:val="22.5"/>
        </w:rPr>
        <w:t xml:space="preserve">- Web: </w:t>
      </w:r>
      <w:hyperlink r:id="rId7" w:history="1">
        <w:r>
          <w:rPr>
            <w:color w:val="blue"/>
          </w:rPr>
          <w:t xml:space="preserve">https://viaje.mt/adng</w:t>
        </w:r>
      </w:hyperlink>
    </w:p>
    <w:p>
      <w:pPr>
        <w:jc w:val="start"/>
      </w:pPr>
      <w:r>
        <w:rPr>
          <w:rFonts w:ascii="Arial" w:hAnsi="Arial" w:eastAsia="Arial" w:cs="Arial"/>
          <w:sz w:val="22.5"/>
          <w:szCs w:val="22.5"/>
          <w:b w:val="1"/>
          <w:bCs w:val="1"/>
        </w:rPr>
        <w:t xml:space="preserve">15 días y 13 noches</w:t>
      </w:r>
    </w:p>
    <w:p>
      <w:pPr>
        <w:jc w:val="start"/>
      </w:pPr>
    </w:p>
    <w:p>
      <w:pPr>
        <w:jc w:val="center"/>
        <w:spacing w:before="450"/>
      </w:pPr>
      <w:r>
        <w:rPr>
          <w:rFonts w:ascii="Arial" w:hAnsi="Arial" w:eastAsia="Arial" w:cs="Arial"/>
          <w:sz w:val="33"/>
          <w:szCs w:val="33"/>
        </w:rPr>
        <w:t xml:space="preserve">Desde $2249 </w:t>
      </w:r>
      <w:r>
        <w:rPr>
          <w:rFonts w:ascii="Arial" w:hAnsi="Arial" w:eastAsia="Arial" w:cs="Arial"/>
          <w:sz w:val="25.5"/>
          <w:szCs w:val="25.5"/>
          <w:vertAlign w:val="superscript"/>
        </w:rPr>
        <w:t xml:space="preserve">USD</w:t>
      </w:r>
      <w:r>
        <w:rPr>
          <w:rFonts w:ascii="Arial" w:hAnsi="Arial" w:eastAsia="Arial" w:cs="Arial"/>
          <w:sz w:val="33"/>
          <w:szCs w:val="33"/>
        </w:rPr>
        <w:t xml:space="preserve"> | DBL + 750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Domingo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Inglaterra, Francia, Alemania,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Londres, Dover, Calais, París, Heidelberg, Múnich, Innsbruck, Verona, Venecia, Florencia, Roma.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trasatlántico con destino a Londres.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Londres. Asistencia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esta ciudad cosmopolita para conocer los lugares de mayor interés como las Casas del Parlamento y el Big-Ben, Abadía de Westminster, Plaza de Trafalgar, Picadilly Circus, Palacio de Buckingham con el cambio de la Guardia Real si el tiempo lo permite. Resto del día libre. Les recomendamos efectuar una excursión opcional para conocer el Castillo de Windsor, considerado como la mayor fortaleza habitada del mundo y foco histórico de Inglaterra, situado a 50 kms de la capital. Regresando a la ciudad visitar su parte más antigua, destruida en el incendio de 1666, para conocer la City de Londres, centro financiero mundial, Catedral de San Pablo, el famoso Puente de la Torre, y la fortaleza más antigua de Inglaterra: la Torre de Londres.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para seguir conociendo una de las capitales más animadas del mundo, realizar compras en sus afamados comercios o visitar algunos de sus museos.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LONDRES  -  DOVER  -  CALAIS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Dover para abordar el ferry y cruzar el Canal de la Mancha hacia Calais, ya en territorio francés continuaremos en nuestro autobús hacia Paris. Posibilidad de realizar opcionalmente una visita de ldquo;París iluminadordquo; y un crucero por el Sena.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podrá asistir a uno de los famosos espectáculos de Paris Latin o Lido.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Recomendamos, por la mantilde;ana, realizar nuestra excursión opcional, visitando el barrio de Montmartre o barrio Latino, así como el Museo del Louvre, con obras tan importantes como ldquo;La Mona Lisardquo;, ldquo;La Victoria de Samotraciardquo;, o ldquo;La Venus de Milordquo;. Asimismo, podrá continuar descubriendo otros rincones con encanto de esta ciudad cosmopolita.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HEIDELBERG</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HEIDELBERG  -  RUTA ROMáNTICA  -  MúNICH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opcional para conocer los lugares más emblemáticos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MúNICH  -  INNSBRUCK  -  VERONA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austriaca entre inigualables paisajes alpinos para llegar a Innsbruck, capital del Tirol. Tiempo libre. Continuaremos por la autopista atravesando el impresionante Paso Alpino de Brenner, con uno de los puentes más altos de Europa ldquo;Europabruuml;ckerdquo; hacia Italia para llegar a Verona, ciudad inmortalizada por William Shakespeare en su obra ldquo;Romeo y Julietardquo;. Continuación del viaje hasta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VENECIA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FLORENCIA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Vecchiohellip; Posteriormente salida hacia Roma. Posibilidad de realizar una visita opcional para conocer la Roma Barroca, con sus famosas fuentes, plazas y palacios papales, desde los que se gobernaron los Estados Pontificios.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antilde;o 79, para conocer los mejores restos arqueológicos.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ROMA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16 Ago</w:t>
            </w:r>
            <w:r>
              <w:rPr>
                <w:rFonts w:ascii="Arial" w:hAnsi="Arial" w:eastAsia="Arial" w:cs="Arial"/>
                <w:color w:val="000000"/>
                <w:sz w:val="18"/>
                <w:szCs w:val="18"/>
              </w:rPr>
              <w:t xml:space="preserve">  -  17 Oct</w:t>
            </w:r>
          </w:p>
        </w:tc>
        <w:tc>
          <w:tcPr>
            <w:tcW w:w="5000" w:type="pct"/>
          </w:tcPr>
          <w:p>
            <w:pPr/>
            <w:r>
              <w:rPr>
                <w:rFonts w:ascii="Arial" w:hAnsi="Arial" w:eastAsia="Arial" w:cs="Arial"/>
                <w:color w:val="000000"/>
                <w:sz w:val="18"/>
                <w:szCs w:val="18"/>
              </w:rPr>
              <w:t xml:space="preserve">$2,599.00</w:t>
            </w:r>
          </w:p>
        </w:tc>
        <w:tc>
          <w:tcPr>
            <w:tcW w:w="5000" w:type="pct"/>
          </w:tcPr>
          <w:p>
            <w:pPr/>
            <w:r>
              <w:rPr>
                <w:rFonts w:ascii="Arial" w:hAnsi="Arial" w:eastAsia="Arial" w:cs="Arial"/>
                <w:color w:val="000000"/>
                <w:sz w:val="18"/>
                <w:szCs w:val="18"/>
              </w:rPr>
              <w:t xml:space="preserve">$2,599.00</w:t>
            </w:r>
          </w:p>
        </w:tc>
        <w:tc>
          <w:tcPr>
            <w:tcW w:w="5000" w:type="pct"/>
          </w:tcPr>
          <w:p>
            <w:pPr/>
            <w:r>
              <w:rPr>
                <w:rFonts w:ascii="Arial" w:hAnsi="Arial" w:eastAsia="Arial" w:cs="Arial"/>
                <w:color w:val="000000"/>
                <w:sz w:val="18"/>
                <w:szCs w:val="18"/>
              </w:rPr>
              <w:t xml:space="preserve">$3,209.00</w:t>
            </w:r>
          </w:p>
        </w:tc>
        <w:tc>
          <w:tcPr>
            <w:tcW w:w="5000" w:type="pct"/>
          </w:tcPr>
          <w:p>
            <w:pPr/>
            <w:r>
              <w:rPr>
                <w:rFonts w:ascii="Arial" w:hAnsi="Arial" w:eastAsia="Arial" w:cs="Arial"/>
                <w:color w:val="000000"/>
                <w:sz w:val="18"/>
                <w:szCs w:val="18"/>
              </w:rPr>
              <w:t xml:space="preserve">$2,329.00</w:t>
            </w:r>
          </w:p>
        </w:tc>
      </w:tr>
      <w:tr>
        <w:trPr/>
        <w:tc>
          <w:tcPr>
            <w:tcW w:w="5000" w:type="pct"/>
          </w:tcPr>
          <w:p>
            <w:pPr/>
            <w:r>
              <w:rPr>
                <w:rFonts w:ascii="Arial" w:hAnsi="Arial" w:eastAsia="Arial" w:cs="Arial"/>
                <w:color w:val="000000"/>
                <w:sz w:val="18"/>
                <w:szCs w:val="18"/>
              </w:rPr>
              <w:t xml:space="preserve">20 Jun</w:t>
            </w:r>
            <w:r>
              <w:rPr>
                <w:rFonts w:ascii="Arial" w:hAnsi="Arial" w:eastAsia="Arial" w:cs="Arial"/>
                <w:color w:val="000000"/>
                <w:sz w:val="18"/>
                <w:szCs w:val="18"/>
              </w:rPr>
              <w:t xml:space="preserve">  -  15 Ago</w:t>
            </w:r>
          </w:p>
        </w:tc>
        <w:tc>
          <w:tcPr>
            <w:tcW w:w="5000" w:type="pct"/>
          </w:tcPr>
          <w:p>
            <w:pPr/>
            <w:r>
              <w:rPr>
                <w:rFonts w:ascii="Arial" w:hAnsi="Arial" w:eastAsia="Arial" w:cs="Arial"/>
                <w:color w:val="000000"/>
                <w:sz w:val="18"/>
                <w:szCs w:val="18"/>
              </w:rPr>
              <w:t xml:space="preserve">$2,669.00</w:t>
            </w:r>
          </w:p>
        </w:tc>
        <w:tc>
          <w:tcPr>
            <w:tcW w:w="5000" w:type="pct"/>
          </w:tcPr>
          <w:p>
            <w:pPr/>
            <w:r>
              <w:rPr>
                <w:rFonts w:ascii="Arial" w:hAnsi="Arial" w:eastAsia="Arial" w:cs="Arial"/>
                <w:color w:val="000000"/>
                <w:sz w:val="18"/>
                <w:szCs w:val="18"/>
              </w:rPr>
              <w:t xml:space="preserve">$2,669.00</w:t>
            </w:r>
          </w:p>
        </w:tc>
        <w:tc>
          <w:tcPr>
            <w:tcW w:w="5000" w:type="pct"/>
          </w:tcPr>
          <w:p>
            <w:pPr/>
            <w:r>
              <w:rPr>
                <w:rFonts w:ascii="Arial" w:hAnsi="Arial" w:eastAsia="Arial" w:cs="Arial"/>
                <w:color w:val="000000"/>
                <w:sz w:val="18"/>
                <w:szCs w:val="18"/>
              </w:rPr>
              <w:t xml:space="preserve">$3,289.00</w:t>
            </w:r>
          </w:p>
        </w:tc>
        <w:tc>
          <w:tcPr>
            <w:tcW w:w="5000" w:type="pct"/>
          </w:tcPr>
          <w:p>
            <w:pPr/>
            <w:r>
              <w:rPr>
                <w:rFonts w:ascii="Arial" w:hAnsi="Arial" w:eastAsia="Arial" w:cs="Arial"/>
                <w:color w:val="000000"/>
                <w:sz w:val="18"/>
                <w:szCs w:val="18"/>
              </w:rPr>
              <w:t xml:space="preserve">$2,419.00</w:t>
            </w:r>
          </w:p>
        </w:tc>
      </w:tr>
      <w:tr>
        <w:trPr/>
        <w:tc>
          <w:tcPr>
            <w:tcW w:w="5000" w:type="pct"/>
          </w:tcPr>
          <w:p>
            <w:pPr/>
            <w:r>
              <w:rPr>
                <w:rFonts w:ascii="Arial" w:hAnsi="Arial" w:eastAsia="Arial" w:cs="Arial"/>
                <w:color w:val="000000"/>
                <w:sz w:val="18"/>
                <w:szCs w:val="18"/>
              </w:rPr>
              <w:t xml:space="preserve">18 Oct</w:t>
            </w:r>
            <w:r>
              <w:rPr>
                <w:rFonts w:ascii="Arial" w:hAnsi="Arial" w:eastAsia="Arial" w:cs="Arial"/>
                <w:color w:val="000000"/>
                <w:sz w:val="18"/>
                <w:szCs w:val="18"/>
              </w:rPr>
              <w:t xml:space="preserve">  -  10 Dic</w:t>
            </w:r>
          </w:p>
        </w:tc>
        <w:tc>
          <w:tcPr>
            <w:tcW w:w="5000" w:type="pct"/>
          </w:tcPr>
          <w:p>
            <w:pPr/>
            <w:r>
              <w:rPr>
                <w:rFonts w:ascii="Arial" w:hAnsi="Arial" w:eastAsia="Arial" w:cs="Arial"/>
                <w:color w:val="000000"/>
                <w:sz w:val="18"/>
                <w:szCs w:val="18"/>
              </w:rPr>
              <w:t xml:space="preserve">$2,249.00</w:t>
            </w:r>
          </w:p>
        </w:tc>
        <w:tc>
          <w:tcPr>
            <w:tcW w:w="5000" w:type="pct"/>
          </w:tcPr>
          <w:p>
            <w:pPr/>
            <w:r>
              <w:rPr>
                <w:rFonts w:ascii="Arial" w:hAnsi="Arial" w:eastAsia="Arial" w:cs="Arial"/>
                <w:color w:val="000000"/>
                <w:sz w:val="18"/>
                <w:szCs w:val="18"/>
              </w:rPr>
              <w:t xml:space="preserve">$2,249.00</w:t>
            </w:r>
          </w:p>
        </w:tc>
        <w:tc>
          <w:tcPr>
            <w:tcW w:w="5000" w:type="pct"/>
          </w:tcPr>
          <w:p>
            <w:pPr/>
            <w:r>
              <w:rPr>
                <w:rFonts w:ascii="Arial" w:hAnsi="Arial" w:eastAsia="Arial" w:cs="Arial"/>
                <w:color w:val="000000"/>
                <w:sz w:val="18"/>
                <w:szCs w:val="18"/>
              </w:rPr>
              <w:t xml:space="preserve">$2,869.00</w:t>
            </w:r>
          </w:p>
        </w:tc>
        <w:tc>
          <w:tcPr>
            <w:tcW w:w="5000" w:type="pct"/>
          </w:tcPr>
          <w:p>
            <w:pPr/>
            <w:r>
              <w:rPr>
                <w:rFonts w:ascii="Arial" w:hAnsi="Arial" w:eastAsia="Arial" w:cs="Arial"/>
                <w:color w:val="000000"/>
                <w:sz w:val="18"/>
                <w:szCs w:val="18"/>
              </w:rPr>
              <w:t xml:space="preserve">$2,019.00</w:t>
            </w:r>
          </w:p>
        </w:tc>
      </w:tr>
      <w:tr>
        <w:trPr/>
        <w:tc>
          <w:tcPr>
            <w:tcW w:w="5000" w:type="pct"/>
          </w:tcPr>
          <w:p>
            <w:pPr/>
            <w:r>
              <w:rPr>
                <w:rFonts w:ascii="Arial" w:hAnsi="Arial" w:eastAsia="Arial" w:cs="Arial"/>
                <w:color w:val="000000"/>
                <w:sz w:val="18"/>
                <w:szCs w:val="18"/>
              </w:rPr>
              <w:t xml:space="preserve">11  -  31 Dic</w:t>
            </w:r>
          </w:p>
        </w:tc>
        <w:tc>
          <w:tcPr>
            <w:tcW w:w="5000" w:type="pct"/>
          </w:tcPr>
          <w:p>
            <w:pPr/>
            <w:r>
              <w:rPr>
                <w:rFonts w:ascii="Arial" w:hAnsi="Arial" w:eastAsia="Arial" w:cs="Arial"/>
                <w:color w:val="000000"/>
                <w:sz w:val="18"/>
                <w:szCs w:val="18"/>
              </w:rPr>
              <w:t xml:space="preserve">$2,469.00</w:t>
            </w:r>
          </w:p>
        </w:tc>
        <w:tc>
          <w:tcPr>
            <w:tcW w:w="5000" w:type="pct"/>
          </w:tcPr>
          <w:p>
            <w:pPr/>
            <w:r>
              <w:rPr>
                <w:rFonts w:ascii="Arial" w:hAnsi="Arial" w:eastAsia="Arial" w:cs="Arial"/>
                <w:color w:val="000000"/>
                <w:sz w:val="18"/>
                <w:szCs w:val="18"/>
              </w:rPr>
              <w:t xml:space="preserve">$2,469.00</w:t>
            </w:r>
          </w:p>
        </w:tc>
        <w:tc>
          <w:tcPr>
            <w:tcW w:w="5000" w:type="pct"/>
          </w:tcPr>
          <w:p>
            <w:pPr/>
            <w:r>
              <w:rPr>
                <w:rFonts w:ascii="Arial" w:hAnsi="Arial" w:eastAsia="Arial" w:cs="Arial"/>
                <w:color w:val="000000"/>
                <w:sz w:val="18"/>
                <w:szCs w:val="18"/>
              </w:rPr>
              <w:t xml:space="preserve">$3,089.00</w:t>
            </w:r>
          </w:p>
        </w:tc>
        <w:tc>
          <w:tcPr>
            <w:tcW w:w="5000" w:type="pct"/>
          </w:tcPr>
          <w:p>
            <w:pPr/>
            <w:r>
              <w:rPr>
                <w:rFonts w:ascii="Arial" w:hAnsi="Arial" w:eastAsia="Arial" w:cs="Arial"/>
                <w:color w:val="000000"/>
                <w:sz w:val="18"/>
                <w:szCs w:val="18"/>
              </w:rPr>
              <w:t xml:space="preserve">$2,239.00</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$ 750</w:t>
            </w:r>
          </w:p>
        </w:tc>
      </w:tr>
      <w:tr>
        <w:trPr/>
        <w:tc>
          <w:tcPr>
            <w:tcW w:w="5000" w:type="pct"/>
          </w:tcPr>
          <w:p>
            <w:pPr/>
            <w:r>
              <w:rPr>
                <w:rFonts w:ascii="Arial" w:hAnsi="Arial" w:eastAsia="Arial" w:cs="Arial"/>
                <w:color w:val="000000"/>
                <w:sz w:val="18"/>
                <w:szCs w:val="18"/>
              </w:rPr>
              <w:t xml:space="preserve">Suplemento media pensión</w:t>
            </w:r>
          </w:p>
        </w:tc>
        <w:tc>
          <w:tcPr>
            <w:tcW w:w="5000" w:type="pct"/>
          </w:tcPr>
          <w:p>
            <w:pPr/>
            <w:r>
              <w:rPr>
                <w:rFonts w:ascii="Arial" w:hAnsi="Arial" w:eastAsia="Arial" w:cs="Arial"/>
                <w:color w:val="000000"/>
                <w:sz w:val="18"/>
                <w:szCs w:val="18"/>
              </w:rPr>
              <w:t xml:space="preserve">$ 140</w:t>
            </w:r>
          </w:p>
        </w:tc>
      </w:tr>
      <w:tr>
        <w:trPr/>
        <w:tc>
          <w:tcPr>
            <w:tcW w:w="5000" w:type="pct"/>
          </w:tcPr>
          <w:p>
            <w:pPr/>
            <w:r>
              <w:rPr>
                <w:rFonts w:ascii="Arial" w:hAnsi="Arial" w:eastAsia="Arial" w:cs="Arial"/>
                <w:color w:val="000000"/>
                <w:sz w:val="18"/>
                <w:szCs w:val="18"/>
              </w:rPr>
              <w:t xml:space="preserve">Suplemento apróximado de temporada alta (semana santa, verano, diciembre)</w:t>
            </w:r>
          </w:p>
        </w:tc>
        <w:tc>
          <w:tcPr>
            <w:tcW w:w="5000" w:type="pct"/>
          </w:tcPr>
          <w:p>
            <w:pPr/>
            <w:r>
              <w:rPr>
                <w:rFonts w:ascii="Arial" w:hAnsi="Arial" w:eastAsia="Arial" w:cs="Arial"/>
                <w:color w:val="000000"/>
                <w:sz w:val="18"/>
                <w:szCs w:val="18"/>
              </w:rPr>
              <w:t xml:space="preserve">$ 499</w:t>
            </w:r>
          </w:p>
        </w:tc>
      </w:tr>
    </w:tbl>
    <w:p>
      <w:pPr>
        <w:jc w:val="start"/>
      </w:pPr>
      <w:r>
        <w:rPr>
          <w:rFonts w:ascii="Arial" w:hAnsi="Arial" w:eastAsia="Arial" w:cs="Arial"/>
          <w:color w:val="000000"/>
          <w:sz w:val="18"/>
          <w:szCs w:val="18"/>
        </w:rPr>
        <w:t xml:space="preserve"> - Precios sujetos a disponibilidad y cambios sin previo aviso. - *Los suplementos de temporada alta podrían aplicar de acuerdo con la disponibilidad aérea. -  La tarifa de menor es aplicable entre los 4 y 06 antilde;os 11 meses de edad, compartiendo habitación con 2 adultos. (se dará cama supletoria en la habitación para el menor, por lo que se asignará habitación triple). Compartiendo habitación con un adulto, el precio del menor será de adulto. - Tarifa de infante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Holiday Inn Express Earl</w:t>
            </w:r>
            <w:r>
              <w:rPr>
                <w:rFonts w:ascii="Arial" w:hAnsi="Arial" w:eastAsia="Arial" w:cs="Arial"/>
                <w:color w:val="000000"/>
                <w:sz w:val="18"/>
                <w:szCs w:val="18"/>
              </w:rPr>
              <w:t xml:space="preserve">rsquo;s Court			Ibis Earl</w:t>
            </w:r>
            <w:r>
              <w:rPr>
                <w:rFonts w:ascii="Arial" w:hAnsi="Arial" w:eastAsia="Arial" w:cs="Arial"/>
                <w:color w:val="000000"/>
                <w:sz w:val="18"/>
                <w:szCs w:val="18"/>
              </w:rPr>
              <w:t xml:space="preserve">rsquo;s Court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Ibis Paris Porte D</w:t>
            </w:r>
            <w:r>
              <w:rPr>
                <w:rFonts w:ascii="Arial" w:hAnsi="Arial" w:eastAsia="Arial" w:cs="Arial"/>
                <w:color w:val="000000"/>
                <w:sz w:val="18"/>
                <w:szCs w:val="18"/>
              </w:rPr>
              <w:t xml:space="preserve">acute;italie</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Heidelberg</w:t>
            </w:r>
          </w:p>
        </w:tc>
        <w:tc>
          <w:tcPr>
            <w:tcW w:w="5000" w:type="pct"/>
          </w:tcPr>
          <w:p>
            <w:pPr/>
            <w:r>
              <w:rPr>
                <w:rFonts w:ascii="Arial" w:hAnsi="Arial" w:eastAsia="Arial" w:cs="Arial"/>
                <w:color w:val="000000"/>
                <w:sz w:val="18"/>
                <w:szCs w:val="18"/>
              </w:rPr>
              <w:t xml:space="preserve">NH Weinheim (weinheim)			NH Hischberg Heidelberg</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Munich</w:t>
            </w:r>
          </w:p>
        </w:tc>
        <w:tc>
          <w:tcPr>
            <w:tcW w:w="5000" w:type="pct"/>
          </w:tcPr>
          <w:p>
            <w:pPr/>
            <w:r>
              <w:rPr>
                <w:rFonts w:ascii="Arial" w:hAnsi="Arial" w:eastAsia="Arial" w:cs="Arial"/>
                <w:color w:val="000000"/>
                <w:sz w:val="18"/>
                <w:szCs w:val="18"/>
              </w:rPr>
              <w:t xml:space="preserve">NH Ost Conference Center			NH M</w:t>
            </w:r>
            <w:r>
              <w:rPr>
                <w:rFonts w:ascii="Arial" w:hAnsi="Arial" w:eastAsia="Arial" w:cs="Arial"/>
                <w:color w:val="000000"/>
                <w:sz w:val="18"/>
                <w:szCs w:val="18"/>
              </w:rPr>
              <w:t xml:space="preserve">uuml;nchen Messe			Bento Inn Munich Messe</w:t>
            </w:r>
          </w:p>
        </w:tc>
        <w:tc>
          <w:tcPr>
            <w:tcW w:w="5000" w:type="pct"/>
          </w:tcPr>
          <w:p>
            <w:pPr/>
            <w:r>
              <w:rPr>
                <w:rFonts w:ascii="Arial" w:hAnsi="Arial" w:eastAsia="Arial" w:cs="Arial"/>
                <w:color w:val="000000"/>
                <w:sz w:val="18"/>
                <w:szCs w:val="18"/>
              </w:rPr>
              <w:t xml:space="preserve">Primera			Primera			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Alexander (mestre)			LH Hotel Sirio Venecia (mestre)</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Nuovo Palazzo Di Giustizia			Mirage</w:t>
            </w:r>
          </w:p>
        </w:tc>
        <w:tc>
          <w:tcPr>
            <w:tcW w:w="5000" w:type="pct"/>
          </w:tcPr>
          <w:p>
            <w:pPr/>
            <w:r>
              <w:rPr>
                <w:rFonts w:ascii="Arial" w:hAnsi="Arial" w:eastAsia="Arial" w:cs="Arial"/>
                <w:color w:val="000000"/>
                <w:sz w:val="18"/>
                <w:szCs w:val="18"/>
              </w:rPr>
              <w:t xml:space="preserve">Turista			Primera</w:t>
            </w:r>
          </w:p>
        </w:tc>
      </w:tr>
      <w:tr>
        <w:trPr/>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Grand Hotel Fleming			GreenPark Hotel Pamphili</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LONDRES / ROMA – MÉXICO VOLANDO EN CLASE TURISTA</w:t>
      </w:r>
    </w:p>
    <w:p>
      <w:pPr>
        <w:jc w:val="start"/>
      </w:pPr>
      <w:r>
        <w:rPr>
          <w:rFonts w:ascii="Arial" w:hAnsi="Arial" w:eastAsia="Arial" w:cs="Arial"/>
          <w:sz w:val="18"/>
          <w:szCs w:val="18"/>
        </w:rPr>
        <w:t xml:space="preserve">  ● 13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(DE / A AEROPUERTOS PRINCIPALES, CONFIRMAR CON SU AGENTE)</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 (SUJETAS A MÍNIMO DE PARTICIPANTES)</w:t>
      </w:r>
    </w:p>
    <w:p>
      <w:pPr>
        <w:jc w:val="start"/>
      </w:pPr>
      <w:r>
        <w:rPr>
          <w:rFonts w:ascii="Arial" w:hAnsi="Arial" w:eastAsia="Arial" w:cs="Arial"/>
          <w:sz w:val="18"/>
          <w:szCs w:val="18"/>
        </w:rPr>
        <w:t xml:space="preserve">  ● EXCURSIONES SUGERIDAS</w:t>
      </w:r>
    </w:p>
    <w:p>
      <w:pPr>
        <w:jc w:val="start"/>
      </w:pPr>
      <w:r>
        <w:rPr>
          <w:rFonts w:ascii="Arial" w:hAnsi="Arial" w:eastAsia="Arial" w:cs="Arial"/>
          <w:sz w:val="18"/>
          <w:szCs w:val="18"/>
        </w:rPr>
        <w:t xml:space="preserve">  ● PUEDEN APLICAR IMPUESTOS LOCALES HOTELEROS A PAGAR DIRECTO EN DESTINO.</w:t>
      </w:r>
    </w:p>
    <w:p>
      <w:pPr>
        <w:jc w:val="start"/>
      </w:pPr>
      <w:r>
        <w:rPr>
          <w:rFonts w:ascii="Arial" w:hAnsi="Arial" w:eastAsia="Arial" w:cs="Arial"/>
          <w:sz w:val="18"/>
          <w:szCs w:val="18"/>
        </w:rPr>
        <w:t xml:space="preserve">  ● EL SEGURO TURÍSTICO INCLUIDO SÓLO ES EN SERVICIO TERRESTRE, EL CUAL TIENE UNA COBERTURA MÍNIMA. PARA EUROPA SE SUGIEREN LAS SIGUIENTES OPCIONES DE TARJETA DE ASISTENCIA TURÍSTICA (SEGURO DE VIAJERO):</w:t>
      </w:r>
    </w:p>
    <w:p>
      <w:pPr>
        <w:jc w:val="start"/>
      </w:pPr>
      <w:r>
        <w:rPr>
          <w:rFonts w:ascii="Arial" w:hAnsi="Arial" w:eastAsia="Arial" w:cs="Arial"/>
          <w:sz w:val="18"/>
          <w:szCs w:val="18"/>
        </w:rPr>
        <w:t xml:space="preserve">  ● AC35   MMG 35,000 EUROS EN VIAJES A EUROPA. (3.5 USD POR PERSONA POR DÍA)</w:t>
      </w:r>
    </w:p>
    <w:p>
      <w:pPr>
        <w:jc w:val="start"/>
      </w:pPr>
      <w:r>
        <w:rPr>
          <w:rFonts w:ascii="Arial" w:hAnsi="Arial" w:eastAsia="Arial" w:cs="Arial"/>
          <w:sz w:val="18"/>
          <w:szCs w:val="18"/>
        </w:rPr>
        <w:t xml:space="preserve">  ● AC60   MMG 60,000 USD EN VIAJES A EUROPA. (6.00 USD POR PERSONA POR DÍA, HASTA 69 AÑOS 11 MESES. (A partir de 70 años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HABITACIONES TRIPLES (adicional a la cama doble o 2 camas twin se otorgará una supletoria).</w:t>
      </w:r>
    </w:p>
    <w:p>
      <w:pPr>
        <w:jc w:val="start"/>
      </w:pPr>
      <w:r>
        <w:rPr>
          <w:rFonts w:ascii="Arial" w:hAnsi="Arial" w:eastAsia="Arial" w:cs="Arial"/>
          <w:sz w:val="18"/>
          <w:szCs w:val="18"/>
        </w:rPr>
        <w:t xml:space="preserve">La disponibilidad de habitaciones TRIPLES es limitada.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https://www.megatravel.com.mx/contrato/05-europa-salidas-regulares.pdf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79B1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974FC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dng"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5-europa-salidas-regulare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2024-04-27T08:15:57-06:00</dcterms:created>
  <dcterms:modified xsi:type="dcterms:W3CDTF">2024-04-27T08:15:57-06:00</dcterms:modified>
</cp:coreProperties>
</file>

<file path=docProps/custom.xml><?xml version="1.0" encoding="utf-8"?>
<Properties xmlns="http://schemas.openxmlformats.org/officeDocument/2006/custom-properties" xmlns:vt="http://schemas.openxmlformats.org/officeDocument/2006/docPropsVTypes"/>
</file>