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Sabor del Veneto</w:t>
      </w:r>
    </w:p>
    <w:p>
      <w:pPr>
        <w:jc w:val="start"/>
      </w:pPr>
      <w:r>
        <w:rPr>
          <w:rFonts w:ascii="Arial" w:hAnsi="Arial" w:eastAsia="Arial" w:cs="Arial"/>
          <w:sz w:val="22.5"/>
          <w:szCs w:val="22.5"/>
          <w:b w:val="1"/>
          <w:bCs w:val="1"/>
        </w:rPr>
        <w:t xml:space="preserve">MT-14275  </w:t>
      </w:r>
      <w:r>
        <w:rPr>
          <w:rFonts w:ascii="Arial" w:hAnsi="Arial" w:eastAsia="Arial" w:cs="Arial"/>
          <w:sz w:val="22.5"/>
          <w:szCs w:val="22.5"/>
        </w:rPr>
        <w:t xml:space="preserve">- Web: </w:t>
      </w:r>
      <w:hyperlink r:id="rId7" w:history="1">
        <w:r>
          <w:rPr>
            <w:color w:val="blue"/>
          </w:rPr>
          <w:t xml:space="preserve">https://viaje.mt/U6gSM</w:t>
        </w:r>
      </w:hyperlink>
    </w:p>
    <w:p>
      <w:pPr>
        <w:jc w:val="start"/>
      </w:pPr>
      <w:r>
        <w:rPr>
          <w:rFonts w:ascii="Arial" w:hAnsi="Arial" w:eastAsia="Arial" w:cs="Arial"/>
          <w:sz w:val="22.5"/>
          <w:szCs w:val="22.5"/>
          <w:b w:val="1"/>
          <w:bCs w:val="1"/>
        </w:rPr>
        <w:t xml:space="preserve">7 días y 5 noches</w:t>
      </w:r>
    </w:p>
    <w:p>
      <w:pPr>
        <w:jc w:val="start"/>
      </w:pPr>
    </w:p>
    <w:p>
      <w:pPr>
        <w:jc w:val="center"/>
        <w:spacing w:before="450"/>
      </w:pPr>
      <w:r>
        <w:rPr>
          <w:rFonts w:ascii="Arial" w:hAnsi="Arial" w:eastAsia="Arial" w:cs="Arial"/>
          <w:sz w:val="33"/>
          <w:szCs w:val="33"/>
        </w:rPr>
        <w:t xml:space="preserve">Desde $1199 </w:t>
      </w:r>
      <w:r>
        <w:rPr>
          <w:rFonts w:ascii="Arial" w:hAnsi="Arial" w:eastAsia="Arial" w:cs="Arial"/>
          <w:sz w:val="25.5"/>
          <w:szCs w:val="25.5"/>
          <w:vertAlign w:val="superscript"/>
        </w:rPr>
        <w:t xml:space="preserve">USD</w:t>
      </w:r>
      <w:r>
        <w:rPr>
          <w:rFonts w:ascii="Arial" w:hAnsi="Arial" w:eastAsia="Arial" w:cs="Arial"/>
          <w:sz w:val="33"/>
          <w:szCs w:val="33"/>
        </w:rPr>
        <w:t xml:space="preserve"> | DBL + 799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6.130653266332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tbl>
      <w:tblGrid>
        <w:gridCol w:w="5000" w:type="dxa"/>
      </w:tblGrid>
      <w:tblPr>
        <w:jc w:val="start"/>
        <w:tblW w:w="5000" w:type="pct"/>
        <w:tblLayout w:type="autofit"/>
        <w:bidiVisual w:val="0"/>
      </w:tblPr>
      <w:tr>
        <w:trPr/>
        <w:tc>
          <w:tcPr>
            <w:tcW w:w="5000" w:type="pct"/>
          </w:tcPr>
          <w:p>
            <w:pPr/>
            <w:r>
              <w:rPr>
                <w:rFonts w:ascii="Arial" w:hAnsi="Arial" w:eastAsia="Arial" w:cs="Arial"/>
                <w:sz w:val="18"/>
                <w:szCs w:val="18"/>
                <w:b w:val="1"/>
                <w:bCs w:val="1"/>
              </w:rPr>
              <w:t xml:space="preserve">2026</w:t>
            </w:r>
          </w:p>
        </w:tc>
      </w:tr>
      <w:tr>
        <w:trPr/>
        <w:tc>
          <w:tcPr>
            <w:tcW w:w="5000" w:type="pct"/>
          </w:tcPr>
          <w:p>
            <w:pPr/>
            <w:r>
              <w:rPr>
                <w:rFonts w:ascii="Arial" w:hAnsi="Arial" w:eastAsia="Arial" w:cs="Arial"/>
                <w:sz w:val="18"/>
                <w:szCs w:val="18"/>
              </w:rPr>
              <w:t xml:space="preserve">Septiembre:  07</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Italia.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Roma, Florencia, Venecia.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 México –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Presentarse en el aeropuerto de la Ciudad de México para tomar el vuelo trasatlántico con destino a Roma.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Llegada al aeropuerto internacional de Roma Ciampino/Fuimicino. Asistencia y traslado al hotel. Resto del día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Roma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Desayuno. A primera hora de la mañana, iniciaremos nuestra visita panorámica de la Roma Imperial, recorriendo los Foros Imperiales, el Coliseo, el Arco de Constantino, las Termas de Caracalla y el Circo Máximo, entre otros. Al finalizar la visita, asistiremos a la AUDIENCIA PAPAL (si el Santo Padre se encuentra en el Vaticano). Resto del día libre.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Por la mañana visita a los famosos Museos Vaticanos, Capilla Sixtina, con los impresionantes frescos de Miguel Ángel, utilizando nuestras reservas exclusivas, que le evitarán largas esperas en el ingreso.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Por la tarde podrá realizar una visita para conocer la Roma Barroca, con sus famosas fuentes, plazas y palacios papales, desde los cuales se gobernaron los Estados Pontificios.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Desayuno. Día libre para actividades personales.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Visita al interior del Coliseo con paseo por el Foro Romano.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Nápoles, con breve recorrido panorámico. Capri, mítica isla que cautivó a los Emperadore Romanos, por sus bellezas naturales (de Abril a Octubre) o Pompeya, antigua ciudad romana sepultada por las cenizas del volcán Vesubio en el año 79, para conocer los mejores restos arqueológicos (de Noviembre a Marzo).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05 Roma – Florencia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la Toscana y llegar a su capital, Florencia. Visita a pie de esta ciudad, rebosante de Arte, Historia y Cultura, por donde pasaron grandes artistas como Miguel Angel o Dante Alighieri. Conoceremos sus importantes joyas arquitectónicas: la Catedral de Santa María dei Fiori, con su bello Campanile y el Baptisterio con las famosas puertas del Paraíso de Ghiberti, la Plaza de la Signoría, Ponte Vecchio.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06 Florencia – Venecia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la bella ciudad de Venecia. Llegaremos al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EXCURSION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Paseo en Góndola por los canales y una exclusiva navegación por la Laguna Veneciana.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07 Venecia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(según horario de vuelo). A la hora prevista traslado al aeropuerto para tomar el vuelo de regreso con destino a la Ciudad de México.</w:t>
      </w:r>
    </w:p>
    <w:p>
      <w:pPr>
        <w:jc w:val="both"/>
      </w:pPr>
      <w:r>
        <w:rPr>
          <w:rFonts w:ascii="Arial" w:hAnsi="Arial" w:eastAsia="Arial" w:cs="Arial"/>
          <w:sz w:val="18"/>
          <w:szCs w:val="18"/>
        </w:rPr>
        <w:t xml:space="preserve"> </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tblGrid>
      <w:tblPr>
        <w:tblW w:w="0" w:type="auto"/>
        <w:tblLayout w:type="autofit"/>
        <w:bidiVisual w:val="0"/>
      </w:tblPr>
      <w:tr>
        <w:trPr>
          <w:tblHeader w:val="1"/>
        </w:trPr>
        <w:tc>
          <w:tcPr>
            <w:tcW w:w="5000" w:type="pct"/>
            <w:gridSpan w:val="7"/>
          </w:tcPr>
          <w:p>
            <w:pPr/>
            <w:r>
              <w:rPr>
                <w:rFonts w:ascii="Arial" w:hAnsi="Arial" w:eastAsia="Arial" w:cs="Arial"/>
                <w:color w:val="000000"/>
                <w:sz w:val="18"/>
                <w:szCs w:val="18"/>
                <w:b w:val="1"/>
                <w:bCs w:val="1"/>
              </w:rPr>
              <w:t xml:space="preserve">TARIFAS 2026 </w:t>
            </w:r>
          </w:p>
        </w:tc>
      </w:tr>
      <w:tr>
        <w:trPr/>
        <w:tc>
          <w:tcPr>
            <w:tcW w:w="5000" w:type="pct"/>
          </w:tcPr>
          <w:p>
            <w:pPr/>
            <w:r>
              <w:rPr>
                <w:rFonts w:ascii="Arial" w:hAnsi="Arial" w:eastAsia="Arial" w:cs="Arial"/>
                <w:color w:val="000000"/>
                <w:sz w:val="18"/>
                <w:szCs w:val="18"/>
              </w:rPr>
              <w:t xml:space="preserve">Doble</w:t>
            </w:r>
          </w:p>
        </w:tc>
        <w:tc>
          <w:tcPr>
            <w:tcW w:w="5000" w:type="pct"/>
          </w:tcPr>
          <w:p>
            <w:pPr/>
            <w:r>
              <w:rPr>
                <w:rFonts w:ascii="Arial" w:hAnsi="Arial" w:eastAsia="Arial" w:cs="Arial"/>
                <w:color w:val="000000"/>
                <w:sz w:val="18"/>
                <w:szCs w:val="18"/>
              </w:rPr>
              <w:t xml:space="preserve">$ 1199</w:t>
            </w:r>
          </w:p>
        </w:tc>
      </w:tr>
      <w:tr>
        <w:trPr/>
        <w:tc>
          <w:tcPr>
            <w:tcW w:w="5000" w:type="pct"/>
          </w:tcPr>
          <w:p>
            <w:pPr/>
            <w:r>
              <w:rPr>
                <w:rFonts w:ascii="Arial" w:hAnsi="Arial" w:eastAsia="Arial" w:cs="Arial"/>
                <w:color w:val="000000"/>
                <w:sz w:val="18"/>
                <w:szCs w:val="18"/>
              </w:rPr>
              <w:t xml:space="preserve">Triple</w:t>
            </w:r>
          </w:p>
        </w:tc>
        <w:tc>
          <w:tcPr>
            <w:tcW w:w="5000" w:type="pct"/>
          </w:tcPr>
          <w:p>
            <w:pPr/>
            <w:r>
              <w:rPr>
                <w:rFonts w:ascii="Arial" w:hAnsi="Arial" w:eastAsia="Arial" w:cs="Arial"/>
                <w:color w:val="000000"/>
                <w:sz w:val="18"/>
                <w:szCs w:val="18"/>
              </w:rPr>
              <w:t xml:space="preserve">$ 1199</w:t>
            </w:r>
          </w:p>
        </w:tc>
      </w:tr>
      <w:tr>
        <w:trPr/>
        <w:tc>
          <w:tcPr>
            <w:tcW w:w="5000" w:type="pct"/>
          </w:tcPr>
          <w:p>
            <w:pPr/>
            <w:r>
              <w:rPr>
                <w:rFonts w:ascii="Arial" w:hAnsi="Arial" w:eastAsia="Arial" w:cs="Arial"/>
                <w:color w:val="000000"/>
                <w:sz w:val="18"/>
                <w:szCs w:val="18"/>
              </w:rPr>
              <w:t xml:space="preserve">Sencilla</w:t>
            </w:r>
          </w:p>
        </w:tc>
        <w:tc>
          <w:tcPr>
            <w:tcW w:w="5000" w:type="pct"/>
          </w:tcPr>
          <w:p>
            <w:pPr/>
            <w:r>
              <w:rPr>
                <w:rFonts w:ascii="Arial" w:hAnsi="Arial" w:eastAsia="Arial" w:cs="Arial"/>
                <w:color w:val="000000"/>
                <w:sz w:val="18"/>
                <w:szCs w:val="18"/>
              </w:rPr>
              <w:t xml:space="preserve">$ 1669</w:t>
            </w:r>
          </w:p>
        </w:tc>
      </w:tr>
    </w:tbl>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Impuestos Aéreos 2026 </w:t>
            </w:r>
          </w:p>
        </w:tc>
        <w:tc>
          <w:tcPr>
            <w:tcW w:w="5000" w:type="pct"/>
          </w:tcPr>
          <w:p>
            <w:pPr/>
            <w:r>
              <w:rPr>
                <w:rFonts w:ascii="Arial" w:hAnsi="Arial" w:eastAsia="Arial" w:cs="Arial"/>
                <w:color w:val="000000"/>
                <w:sz w:val="18"/>
                <w:szCs w:val="18"/>
              </w:rPr>
              <w:t xml:space="preserve">$ 799</w:t>
            </w:r>
          </w:p>
        </w:tc>
      </w:tr>
    </w:tbl>
    <w:tbl>
      <w:tblGrid>
        <w:gridCol w:w="5000" w:type="dxa"/>
        <w:gridCol w:w="5000" w:type="dxa"/>
      </w:tblGrid>
      <w:tblPr>
        <w:tblW w:w="0" w:type="auto"/>
        <w:tblLayout w:type="autofit"/>
        <w:bidiVisual w:val="0"/>
      </w:tblPr>
      <w:tr>
        <w:trPr/>
        <w:tc>
          <w:tcPr>
            <w:tcW w:w="5000" w:type="pct"/>
            <w:gridSpan w:val="2"/>
          </w:tcPr>
          <w:p>
            <w:pPr/>
            <w:r>
              <w:rPr>
                <w:rFonts w:ascii="Arial" w:hAnsi="Arial" w:eastAsia="Arial" w:cs="Arial"/>
                <w:color w:val="000000"/>
                <w:sz w:val="18"/>
                <w:szCs w:val="18"/>
              </w:rPr>
              <w:t xml:space="preserve">SUPLEMENTOS 2026</w:t>
            </w:r>
          </w:p>
        </w:tc>
      </w:tr>
      <w:tr>
        <w:trPr/>
        <w:tc>
          <w:tcPr>
            <w:tcW w:w="5000" w:type="pct"/>
          </w:tcPr>
          <w:p>
            <w:pPr/>
            <w:r>
              <w:rPr>
                <w:rFonts w:ascii="Arial" w:hAnsi="Arial" w:eastAsia="Arial" w:cs="Arial"/>
                <w:color w:val="000000"/>
                <w:sz w:val="18"/>
                <w:szCs w:val="18"/>
              </w:rPr>
              <w:t xml:space="preserve">Septiembre: 7</w:t>
            </w:r>
          </w:p>
        </w:tc>
        <w:tc>
          <w:tcPr>
            <w:tcW w:w="5000" w:type="pct"/>
          </w:tcPr>
          <w:p>
            <w:pPr/>
            <w:r>
              <w:rPr>
                <w:rFonts w:ascii="Arial" w:hAnsi="Arial" w:eastAsia="Arial" w:cs="Arial"/>
                <w:color w:val="000000"/>
                <w:sz w:val="18"/>
                <w:szCs w:val="18"/>
              </w:rPr>
              <w:t xml:space="preserve">$ 399</w:t>
            </w:r>
          </w:p>
        </w:tc>
      </w:tr>
    </w:tbl>
    <w:p>
      <w:pPr>
        <w:jc w:val="start"/>
      </w:pPr>
    </w:p>
    <w:p>
      <w:pPr>
        <w:jc w:val="start"/>
      </w:pPr>
    </w:p>
    <w:p>
      <w:pPr>
        <w:jc w:val="start"/>
      </w:pPr>
      <w:r>
        <w:rPr>
          <w:rFonts w:ascii="Arial" w:hAnsi="Arial" w:eastAsia="Arial" w:cs="Arial"/>
          <w:color w:val="000000"/>
          <w:sz w:val="18"/>
          <w:szCs w:val="18"/>
        </w:rPr>
        <w:t xml:space="preserve"> -  Precios indicados por persona en USD         -  Los precios cambian constantemente, así que te sugerimos la verificación de estos, y no utilizar este documento como definitivo, en caso de no encontrar la fecha dentro del recuadro consultar el precio del suplemento con su ejecutivo.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PAÍS</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TIPO</w:t>
            </w:r>
          </w:p>
        </w:tc>
      </w:tr>
      <w:tr>
        <w:trPr/>
        <w:tc>
          <w:tcPr>
            <w:tcW w:w="5000" w:type="pct"/>
          </w:tcPr>
          <w:p>
            <w:pPr/>
            <w:r>
              <w:rPr>
                <w:rFonts w:ascii="Arial" w:hAnsi="Arial" w:eastAsia="Arial" w:cs="Arial"/>
                <w:color w:val="000000"/>
                <w:sz w:val="18"/>
                <w:szCs w:val="18"/>
              </w:rPr>
              <w:t xml:space="preserve">Italia</w:t>
            </w:r>
          </w:p>
        </w:tc>
        <w:tc>
          <w:tcPr>
            <w:tcW w:w="5000" w:type="pct"/>
          </w:tcPr>
          <w:p>
            <w:pPr/>
            <w:r>
              <w:rPr>
                <w:rFonts w:ascii="Arial" w:hAnsi="Arial" w:eastAsia="Arial" w:cs="Arial"/>
                <w:color w:val="000000"/>
                <w:sz w:val="18"/>
                <w:szCs w:val="18"/>
              </w:rPr>
              <w:t xml:space="preserve">Roma</w:t>
            </w:r>
          </w:p>
        </w:tc>
        <w:tc>
          <w:tcPr>
            <w:tcW w:w="5000" w:type="pct"/>
          </w:tcPr>
          <w:p>
            <w:pPr/>
            <w:r>
              <w:rPr>
                <w:rFonts w:ascii="Arial" w:hAnsi="Arial" w:eastAsia="Arial" w:cs="Arial"/>
                <w:color w:val="000000"/>
                <w:sz w:val="18"/>
                <w:szCs w:val="18"/>
              </w:rPr>
              <w:t xml:space="preserve">- Grand Hotel Fleming - Excel Montemario / Capannelle - Papillo Hotel Roma / Black</w:t>
            </w:r>
          </w:p>
        </w:tc>
        <w:tc>
          <w:tcPr>
            <w:tcW w:w="5000" w:type="pct"/>
          </w:tcPr>
          <w:p>
            <w:pPr/>
            <w:r>
              <w:rPr>
                <w:rFonts w:ascii="Arial" w:hAnsi="Arial" w:eastAsia="Arial" w:cs="Arial"/>
                <w:color w:val="000000"/>
                <w:sz w:val="18"/>
                <w:szCs w:val="18"/>
              </w:rPr>
              <w:t xml:space="preserve">P</w:t>
            </w:r>
          </w:p>
        </w:tc>
      </w:tr>
      <w:tr>
        <w:trPr/>
        <w:tc>
          <w:tcPr>
            <w:tcW w:w="5000" w:type="pct"/>
          </w:tcPr>
          <w:p>
            <w:pPr/>
            <w:r>
              <w:rPr>
                <w:rFonts w:ascii="Arial" w:hAnsi="Arial" w:eastAsia="Arial" w:cs="Arial"/>
                <w:color w:val="000000"/>
                <w:sz w:val="18"/>
                <w:szCs w:val="18"/>
              </w:rPr>
              <w:t xml:space="preserve">Florencia</w:t>
            </w:r>
          </w:p>
        </w:tc>
        <w:tc>
          <w:tcPr>
            <w:tcW w:w="5000" w:type="pct"/>
          </w:tcPr>
          <w:p>
            <w:pPr/>
            <w:r>
              <w:rPr>
                <w:rFonts w:ascii="Arial" w:hAnsi="Arial" w:eastAsia="Arial" w:cs="Arial"/>
                <w:color w:val="000000"/>
                <w:sz w:val="18"/>
                <w:szCs w:val="18"/>
              </w:rPr>
              <w:t xml:space="preserve">- B</w:t>
            </w:r>
            <w:r>
              <w:rPr>
                <w:rFonts w:ascii="Arial" w:hAnsi="Arial" w:eastAsia="Arial" w:cs="Arial"/>
                <w:color w:val="000000"/>
                <w:sz w:val="18"/>
                <w:szCs w:val="18"/>
              </w:rPr>
              <w:t xml:space="preserve">B Nuovo Palazzo di Giustizia - The Gate</w:t>
            </w:r>
          </w:p>
        </w:tc>
        <w:tc>
          <w:tcPr>
            <w:tcW w:w="5000" w:type="pct"/>
          </w:tcPr>
          <w:p>
            <w:pPr/>
            <w:r>
              <w:rPr>
                <w:rFonts w:ascii="Arial" w:hAnsi="Arial" w:eastAsia="Arial" w:cs="Arial"/>
                <w:color w:val="000000"/>
                <w:sz w:val="18"/>
                <w:szCs w:val="18"/>
              </w:rPr>
              <w:t xml:space="preserve">T P</w:t>
            </w:r>
          </w:p>
        </w:tc>
      </w:tr>
      <w:tr>
        <w:trPr/>
        <w:tc>
          <w:tcPr>
            <w:tcW w:w="5000" w:type="pct"/>
          </w:tcPr>
          <w:p>
            <w:pPr/>
            <w:r>
              <w:rPr>
                <w:rFonts w:ascii="Arial" w:hAnsi="Arial" w:eastAsia="Arial" w:cs="Arial"/>
                <w:color w:val="000000"/>
                <w:sz w:val="18"/>
                <w:szCs w:val="18"/>
              </w:rPr>
              <w:t xml:space="preserve">Venecia</w:t>
            </w:r>
          </w:p>
        </w:tc>
        <w:tc>
          <w:tcPr>
            <w:tcW w:w="5000" w:type="pct"/>
          </w:tcPr>
          <w:p>
            <w:pPr/>
            <w:r>
              <w:rPr>
                <w:rFonts w:ascii="Arial" w:hAnsi="Arial" w:eastAsia="Arial" w:cs="Arial"/>
                <w:color w:val="000000"/>
                <w:sz w:val="18"/>
                <w:szCs w:val="18"/>
              </w:rPr>
              <w:t xml:space="preserve">- LH Hotel Sirio Venecia (Mestre) - Smart Hotel Holiday Venice (M) - Quality Hotel Delfino Venezia (Mestre)</w:t>
            </w:r>
          </w:p>
        </w:tc>
        <w:tc>
          <w:tcPr>
            <w:tcW w:w="5000" w:type="pct"/>
          </w:tcPr>
          <w:p>
            <w:pPr/>
            <w:r>
              <w:rPr>
                <w:rFonts w:ascii="Arial" w:hAnsi="Arial" w:eastAsia="Arial" w:cs="Arial"/>
                <w:color w:val="000000"/>
                <w:sz w:val="18"/>
                <w:szCs w:val="18"/>
              </w:rPr>
              <w:t xml:space="preserve">P</w:t>
            </w:r>
          </w:p>
        </w:tc>
      </w:tr>
      <w:tr>
        <w:trPr/>
        <w:tc>
          <w:tcPr>
            <w:tcW w:w="5000" w:type="pct"/>
            <w:gridSpan w:val="4"/>
          </w:tcPr>
          <w:p>
            <w:pPr/>
            <w:r>
              <w:rPr>
                <w:rFonts w:ascii="Arial" w:hAnsi="Arial" w:eastAsia="Arial" w:cs="Arial"/>
                <w:color w:val="000000"/>
                <w:sz w:val="18"/>
                <w:szCs w:val="18"/>
              </w:rPr>
              <w:t xml:space="preserve">T: Hoteles de categoría turista TS: Hoteles de categoría turista superior P: Hoteles de categoría primera</w:t>
            </w:r>
          </w:p>
        </w:tc>
      </w:tr>
      <w:tr>
        <w:trPr/>
        <w:tc>
          <w:tcPr>
            <w:tcW w:w="5000" w:type="pct"/>
            <w:gridSpan w:val="4"/>
          </w:tcPr>
          <w:p>
            <w:pPr/>
            <w:r>
              <w:rPr>
                <w:rFonts w:ascii="Arial" w:hAnsi="Arial" w:eastAsia="Arial" w:cs="Arial"/>
                <w:color w:val="000000"/>
                <w:sz w:val="18"/>
                <w:szCs w:val="18"/>
              </w:rPr>
              <w:t xml:space="preserve">Esta es la relación de los hoteles prevista en este circuito, sujeta a cambios por razones operativas y de períodos de eventos o temporadas altas, en las que se podría alojar en localidades cercanas</w:t>
            </w:r>
          </w:p>
        </w:tc>
      </w:tr>
    </w:tbl>
    <w:p>
      <w:pPr>
        <w:jc w:val="start"/>
      </w:pPr>
      <w:r>
        <w:rPr>
          <w:rFonts w:ascii="Arial" w:hAnsi="Arial" w:eastAsia="Arial" w:cs="Arial"/>
          <w:sz w:val="22.5"/>
          <w:szCs w:val="22.5"/>
          <w:b w:val="1"/>
          <w:bCs w:val="1"/>
        </w:rPr>
        <w:t xml:space="preserve">Precios vigentes hasta el 23/03/2026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México – Roma / Venecia - México volando en clase turista. </w:t>
      </w:r>
    </w:p>
    <w:p>
      <w:pPr>
        <w:jc w:val="start"/>
      </w:pPr>
      <w:r>
        <w:rPr>
          <w:rFonts w:ascii="Arial" w:hAnsi="Arial" w:eastAsia="Arial" w:cs="Arial"/>
          <w:sz w:val="18"/>
          <w:szCs w:val="18"/>
        </w:rPr>
        <w:t xml:space="preserve">  ● 05 noches de alojamiento en categoría indicada.</w:t>
      </w:r>
    </w:p>
    <w:p>
      <w:pPr>
        <w:jc w:val="start"/>
      </w:pPr>
      <w:r>
        <w:rPr>
          <w:rFonts w:ascii="Arial" w:hAnsi="Arial" w:eastAsia="Arial" w:cs="Arial"/>
          <w:sz w:val="18"/>
          <w:szCs w:val="18"/>
        </w:rPr>
        <w:t xml:space="preserve">  ● Régimen alimenticio de acuerdo a itinerario.</w:t>
      </w:r>
    </w:p>
    <w:p>
      <w:pPr>
        <w:jc w:val="start"/>
      </w:pPr>
      <w:r>
        <w:rPr>
          <w:rFonts w:ascii="Arial" w:hAnsi="Arial" w:eastAsia="Arial" w:cs="Arial"/>
          <w:sz w:val="18"/>
          <w:szCs w:val="18"/>
        </w:rPr>
        <w:t xml:space="preserve">  ● Visitas según itinerario.</w:t>
      </w:r>
    </w:p>
    <w:p>
      <w:pPr>
        <w:jc w:val="start"/>
      </w:pPr>
      <w:r>
        <w:rPr>
          <w:rFonts w:ascii="Arial" w:hAnsi="Arial" w:eastAsia="Arial" w:cs="Arial"/>
          <w:sz w:val="18"/>
          <w:szCs w:val="18"/>
        </w:rPr>
        <w:t xml:space="preserve">  ● Guía profesional de habla hispana.</w:t>
      </w:r>
    </w:p>
    <w:p>
      <w:pPr>
        <w:jc w:val="start"/>
      </w:pPr>
      <w:r>
        <w:rPr>
          <w:rFonts w:ascii="Arial" w:hAnsi="Arial" w:eastAsia="Arial" w:cs="Arial"/>
          <w:sz w:val="18"/>
          <w:szCs w:val="18"/>
        </w:rPr>
        <w:t xml:space="preserve">  ● Traslados los indicados.</w:t>
      </w:r>
    </w:p>
    <w:p>
      <w:pPr>
        <w:jc w:val="start"/>
      </w:pPr>
      <w:r>
        <w:rPr>
          <w:rFonts w:ascii="Arial" w:hAnsi="Arial" w:eastAsia="Arial" w:cs="Arial"/>
          <w:sz w:val="18"/>
          <w:szCs w:val="18"/>
        </w:rPr>
        <w:t xml:space="preserve">  ● Transporte en autocar turístico.</w:t>
      </w:r>
    </w:p>
    <w:p>
      <w:pPr>
        <w:jc w:val="start"/>
      </w:pPr>
      <w:r>
        <w:rPr>
          <w:rFonts w:ascii="Arial" w:hAnsi="Arial" w:eastAsia="Arial" w:cs="Arial"/>
          <w:sz w:val="18"/>
          <w:szCs w:val="18"/>
        </w:rPr>
        <w:t xml:space="preserve">  ● Documentos electrónicos código QR (empresa socialmente responsable con el medio ambiente).</w:t>
      </w:r>
    </w:p>
    <w:p>
      <w:pPr>
        <w:jc w:val="start"/>
      </w:pPr>
      <w:r>
        <w:rPr>
          <w:rFonts w:ascii="Arial" w:hAnsi="Arial" w:eastAsia="Arial" w:cs="Arial"/>
          <w:sz w:val="18"/>
          <w:szCs w:val="18"/>
        </w:rPr>
        <w:t xml:space="preserve">  ● Seguro de Viaje (coberturas de acuerdo a folleto)</w:t>
      </w:r>
    </w:p>
    <w:p>
      <w:pPr>
        <w:jc w:val="start"/>
      </w:pPr>
      <w:r>
        <w:rPr>
          <w:rFonts w:ascii="Arial" w:hAnsi="Arial" w:eastAsia="Arial" w:cs="Arial"/>
          <w:sz w:val="18"/>
          <w:szCs w:val="18"/>
        </w:rPr>
        <w:t xml:space="preserve">  ● Servicio de Asistencia telefónica 24 horas.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Gastos de índole personal.</w:t>
      </w:r>
    </w:p>
    <w:p>
      <w:pPr>
        <w:jc w:val="start"/>
      </w:pPr>
      <w:r>
        <w:rPr>
          <w:rFonts w:ascii="Arial" w:hAnsi="Arial" w:eastAsia="Arial" w:cs="Arial"/>
          <w:sz w:val="18"/>
          <w:szCs w:val="18"/>
        </w:rPr>
        <w:t xml:space="preserve">  ● Ningún servicio no especificado.</w:t>
      </w:r>
    </w:p>
    <w:p>
      <w:pPr>
        <w:jc w:val="start"/>
      </w:pPr>
      <w:r>
        <w:rPr>
          <w:rFonts w:ascii="Arial" w:hAnsi="Arial" w:eastAsia="Arial" w:cs="Arial"/>
          <w:sz w:val="18"/>
          <w:szCs w:val="18"/>
        </w:rPr>
        <w:t xml:space="preserve">  ● Propina para guías acompañantes, choferes, tasas hoteleras, tasas municipales.</w:t>
      </w:r>
    </w:p>
    <w:p>
      <w:pPr>
        <w:jc w:val="start"/>
      </w:pPr>
      <w:r>
        <w:rPr>
          <w:rFonts w:ascii="Arial" w:hAnsi="Arial" w:eastAsia="Arial" w:cs="Arial"/>
          <w:sz w:val="18"/>
          <w:szCs w:val="18"/>
        </w:rPr>
        <w:t xml:space="preserve">  ● Excursiones opcionales (Sujetas a mínimo de participantes).</w:t>
      </w:r>
    </w:p>
    <w:p>
      <w:pPr>
        <w:jc w:val="start"/>
      </w:pPr>
      <w:r>
        <w:rPr>
          <w:rFonts w:ascii="Arial" w:hAnsi="Arial" w:eastAsia="Arial" w:cs="Arial"/>
          <w:sz w:val="18"/>
          <w:szCs w:val="18"/>
        </w:rPr>
        <w:t xml:space="preserve">  ● Excursiones sugeridas.</w:t>
      </w:r>
    </w:p>
    <w:p>
      <w:pPr>
        <w:jc w:val="start"/>
      </w:pPr>
      <w:r>
        <w:rPr>
          <w:rFonts w:ascii="Arial" w:hAnsi="Arial" w:eastAsia="Arial" w:cs="Arial"/>
          <w:sz w:val="18"/>
          <w:szCs w:val="18"/>
        </w:rPr>
        <w:t xml:space="preserve">  ● Pueden aplicar impuestos locales hoteleros a pagar directo en destino.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DE HOTELES</w:t>
      </w:r>
    </w:p>
    <w:p>
      <w:pPr>
        <w:jc w:val="start"/>
      </w:pPr>
      <w:r>
        <w:rPr>
          <w:rFonts w:ascii="Arial" w:hAnsi="Arial" w:eastAsia="Arial" w:cs="Arial"/>
          <w:sz w:val="18"/>
          <w:szCs w:val="18"/>
        </w:rPr>
        <w:t xml:space="preserve">Habitaciones con dos camas: Si usted necesita habitación con dos camas, las mismas deben ser solicitadas desde el inicio de su reserva la cual deberá mencionar acomodo TWIN.</w:t>
      </w:r>
    </w:p>
    <w:p>
      <w:pPr>
        <w:jc w:val="start"/>
      </w:pPr>
      <w:r>
        <w:rPr>
          <w:rFonts w:ascii="Arial" w:hAnsi="Arial" w:eastAsia="Arial" w:cs="Arial"/>
          <w:sz w:val="18"/>
          <w:szCs w:val="18"/>
        </w:rPr>
        <w:t xml:space="preserve">Habitaciones Triples: Las habitaciones triples están compuestas de una cama matrimonial más una cama suplementaria (rollaway)ó sofá cama, las habitaciones triples no se recomiendan para Adultos, Cuando hay menores en compañía de sus padres se requiere solicitar ocupación en triple.</w:t>
      </w:r>
    </w:p>
    <w:p>
      <w:pPr>
        <w:jc w:val="start"/>
      </w:pPr>
      <w:r>
        <w:rPr>
          <w:rFonts w:ascii="Arial" w:hAnsi="Arial" w:eastAsia="Arial" w:cs="Arial"/>
          <w:sz w:val="18"/>
          <w:szCs w:val="18"/>
        </w:rPr>
        <w:t xml:space="preserve"> </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https://cdn.mtmedia25.com/contratos/contratoadhesion-mega-travel-operadora-20241002.pdf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sectPr>
      <w:headerReference w:type="default" r:id="rId11"/>
      <w:footerReference w:type="default" r:id="rId12"/>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28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F6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U6gSM"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mega-travel-operadora-20241002.pdf"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2025-12-01T17:59:20-06:00</dcterms:created>
  <dcterms:modified xsi:type="dcterms:W3CDTF">2025-12-01T17:59:20-06:00</dcterms:modified>
</cp:coreProperties>
</file>

<file path=docProps/custom.xml><?xml version="1.0" encoding="utf-8"?>
<Properties xmlns="http://schemas.openxmlformats.org/officeDocument/2006/custom-properties" xmlns:vt="http://schemas.openxmlformats.org/officeDocument/2006/docPropsVTypes"/>
</file>