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 y París</w:t>
      </w:r>
    </w:p>
    <w:p>
      <w:pPr>
        <w:jc w:val="start"/>
      </w:pPr>
      <w:r>
        <w:rPr>
          <w:rFonts w:ascii="Arial" w:hAnsi="Arial" w:eastAsia="Arial" w:cs="Arial"/>
          <w:sz w:val="22.5"/>
          <w:szCs w:val="22.5"/>
          <w:b w:val="1"/>
          <w:bCs w:val="1"/>
        </w:rPr>
        <w:t xml:space="preserve">MT-14319  </w:t>
      </w:r>
      <w:r>
        <w:rPr>
          <w:rFonts w:ascii="Arial" w:hAnsi="Arial" w:eastAsia="Arial" w:cs="Arial"/>
          <w:sz w:val="22.5"/>
          <w:szCs w:val="22.5"/>
        </w:rPr>
        <w:t xml:space="preserve">- Web: </w:t>
      </w:r>
      <w:hyperlink r:id="rId7" w:history="1">
        <w:r>
          <w:rPr>
            <w:color w:val="blue"/>
          </w:rPr>
          <w:t xml:space="preserve">https://viaje.mt/RgjcG</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$1290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 – Dover – Calais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2025-08-30 Hasta 2025-10-25</w:t>
            </w:r>
          </w:p>
        </w:tc>
        <w:tc>
          <w:tcPr>
            <w:tcW w:w="5000" w:type="pct"/>
          </w:tcPr>
          <w:p>
            <w:pPr/>
            <w:r>
              <w:rPr>
                <w:rFonts w:ascii="Arial" w:hAnsi="Arial" w:eastAsia="Arial" w:cs="Arial"/>
                <w:color w:val="000000"/>
                <w:sz w:val="18"/>
                <w:szCs w:val="18"/>
              </w:rPr>
              <w:t xml:space="preserve">$1390</w:t>
            </w:r>
          </w:p>
        </w:tc>
        <w:tc>
          <w:tcPr>
            <w:tcW w:w="5000" w:type="pct"/>
          </w:tcPr>
          <w:p>
            <w:pPr/>
            <w:r>
              <w:rPr>
                <w:rFonts w:ascii="Arial" w:hAnsi="Arial" w:eastAsia="Arial" w:cs="Arial"/>
                <w:color w:val="000000"/>
                <w:sz w:val="18"/>
                <w:szCs w:val="18"/>
              </w:rPr>
              <w:t xml:space="preserve">$1390</w:t>
            </w:r>
          </w:p>
        </w:tc>
        <w:tc>
          <w:tcPr>
            <w:tcW w:w="5000" w:type="pct"/>
          </w:tcPr>
          <w:p>
            <w:pPr/>
            <w:r>
              <w:rPr>
                <w:rFonts w:ascii="Arial" w:hAnsi="Arial" w:eastAsia="Arial" w:cs="Arial"/>
                <w:color w:val="000000"/>
                <w:sz w:val="18"/>
                <w:szCs w:val="18"/>
              </w:rPr>
              <w:t xml:space="preserve">$1990</w:t>
            </w:r>
          </w:p>
        </w:tc>
        <w:tc>
          <w:tcPr>
            <w:tcW w:w="5000" w:type="pct"/>
          </w:tcPr>
          <w:p>
            <w:pPr/>
            <w:r>
              <w:rPr>
                <w:rFonts w:ascii="Arial" w:hAnsi="Arial" w:eastAsia="Arial" w:cs="Arial"/>
                <w:color w:val="000000"/>
                <w:sz w:val="18"/>
                <w:szCs w:val="18"/>
              </w:rPr>
              <w:t xml:space="preserve">$1043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 2025-08-23</w:t>
            </w:r>
          </w:p>
        </w:tc>
        <w:tc>
          <w:tcPr>
            <w:tcW w:w="5000" w:type="pct"/>
          </w:tcPr>
          <w:p>
            <w:pPr/>
            <w:r>
              <w:rPr>
                <w:rFonts w:ascii="Arial" w:hAnsi="Arial" w:eastAsia="Arial" w:cs="Arial"/>
                <w:color w:val="000000"/>
                <w:sz w:val="18"/>
                <w:szCs w:val="18"/>
              </w:rPr>
              <w:t xml:space="preserve">$1350</w:t>
            </w:r>
          </w:p>
        </w:tc>
        <w:tc>
          <w:tcPr>
            <w:tcW w:w="5000" w:type="pct"/>
          </w:tcPr>
          <w:p>
            <w:pPr/>
            <w:r>
              <w:rPr>
                <w:rFonts w:ascii="Arial" w:hAnsi="Arial" w:eastAsia="Arial" w:cs="Arial"/>
                <w:color w:val="000000"/>
                <w:sz w:val="18"/>
                <w:szCs w:val="18"/>
              </w:rPr>
              <w:t xml:space="preserve">$1350</w:t>
            </w:r>
          </w:p>
        </w:tc>
        <w:tc>
          <w:tcPr>
            <w:tcW w:w="5000" w:type="pct"/>
          </w:tcPr>
          <w:p>
            <w:pPr/>
            <w:r>
              <w:rPr>
                <w:rFonts w:ascii="Arial" w:hAnsi="Arial" w:eastAsia="Arial" w:cs="Arial"/>
                <w:color w:val="000000"/>
                <w:sz w:val="18"/>
                <w:szCs w:val="18"/>
              </w:rPr>
              <w:t xml:space="preserve">$1950</w:t>
            </w:r>
          </w:p>
        </w:tc>
        <w:tc>
          <w:tcPr>
            <w:tcW w:w="5000" w:type="pct"/>
          </w:tcPr>
          <w:p>
            <w:pPr/>
            <w:r>
              <w:rPr>
                <w:rFonts w:ascii="Arial" w:hAnsi="Arial" w:eastAsia="Arial" w:cs="Arial"/>
                <w:color w:val="000000"/>
                <w:sz w:val="18"/>
                <w:szCs w:val="18"/>
              </w:rPr>
              <w:t xml:space="preserve">$1013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2026-03-21</w:t>
            </w:r>
          </w:p>
        </w:tc>
        <w:tc>
          <w:tcPr>
            <w:tcW w:w="5000" w:type="pct"/>
          </w:tcPr>
          <w:p>
            <w:pPr/>
            <w:r>
              <w:rPr>
                <w:rFonts w:ascii="Arial" w:hAnsi="Arial" w:eastAsia="Arial" w:cs="Arial"/>
                <w:color w:val="000000"/>
                <w:sz w:val="18"/>
                <w:szCs w:val="18"/>
              </w:rPr>
              <w:t xml:space="preserve">$1290</w:t>
            </w:r>
          </w:p>
        </w:tc>
        <w:tc>
          <w:tcPr>
            <w:tcW w:w="5000" w:type="pct"/>
          </w:tcPr>
          <w:p>
            <w:pPr/>
            <w:r>
              <w:rPr>
                <w:rFonts w:ascii="Arial" w:hAnsi="Arial" w:eastAsia="Arial" w:cs="Arial"/>
                <w:color w:val="000000"/>
                <w:sz w:val="18"/>
                <w:szCs w:val="18"/>
              </w:rPr>
              <w:t xml:space="preserve">$1290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$968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 Ibis Earl’s Court			- Royal National</w:t>
            </w:r>
          </w:p>
        </w:tc>
        <w:tc>
          <w:tcPr>
            <w:tcW w:w="5000" w:type="pct"/>
          </w:tcPr>
          <w:p>
            <w:pPr/>
            <w:r>
              <w:rPr>
                <w:rFonts w:ascii="Arial" w:hAnsi="Arial" w:eastAsia="Arial" w:cs="Arial"/>
                <w:color w:val="000000"/>
                <w:sz w:val="18"/>
                <w:szCs w:val="18"/>
              </w:rPr>
              <w:t xml:space="preserve">T			T			TS</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E23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DF7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FE3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gjcG"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2025-07-11T13:32:50-06:00</dcterms:created>
  <dcterms:modified xsi:type="dcterms:W3CDTF">2025-07-11T13:32:50-06:00</dcterms:modified>
</cp:coreProperties>
</file>

<file path=docProps/custom.xml><?xml version="1.0" encoding="utf-8"?>
<Properties xmlns="http://schemas.openxmlformats.org/officeDocument/2006/custom-properties" xmlns:vt="http://schemas.openxmlformats.org/officeDocument/2006/docPropsVTypes"/>
</file>