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Londres, Países Bajos y El Rhin</w:t>
      </w:r>
    </w:p>
    <w:p>
      <w:pPr>
        <w:jc w:val="start"/>
      </w:pPr>
      <w:r>
        <w:rPr>
          <w:rFonts w:ascii="Arial" w:hAnsi="Arial" w:eastAsia="Arial" w:cs="Arial"/>
          <w:sz w:val="22.5"/>
          <w:szCs w:val="22.5"/>
          <w:b w:val="1"/>
          <w:bCs w:val="1"/>
        </w:rPr>
        <w:t xml:space="preserve">MT-15044  </w:t>
      </w:r>
      <w:r>
        <w:rPr>
          <w:rFonts w:ascii="Arial" w:hAnsi="Arial" w:eastAsia="Arial" w:cs="Arial"/>
          <w:sz w:val="22.5"/>
          <w:szCs w:val="22.5"/>
        </w:rPr>
        <w:t xml:space="preserve">- Web: </w:t>
      </w:r>
      <w:hyperlink r:id="rId7" w:history="1">
        <w:r>
          <w:rPr>
            <w:color w:val="blue"/>
          </w:rPr>
          <w:t xml:space="preserve">https://viaje.mt/kQuIt</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$1845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Bélgica, Países Bajos, 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Brujas, Bruselas, La Haya, Ámsterdam, Colonia,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Londres. Noche a bordo.</w:t>
      </w:r>
    </w:p>
    <w:p>
      <w:pPr>
        <w:jc w:val="both"/>
      </w:pPr>
      <w:r>
        <w:rPr>
          <w:rFonts w:ascii="Arial" w:hAnsi="Arial" w:eastAsia="Arial" w:cs="Arial"/>
          <w:sz w:val="18"/>
          <w:szCs w:val="18"/>
          <w:b w:val="1"/>
          <w:bCs w:val="1"/>
        </w:rPr>
        <w:t xml:space="preserve">Día 02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Londres y traslado al hotel. Alojamiento.</w:t>
      </w:r>
    </w:p>
    <w:p>
      <w:pPr>
        <w:jc w:val="both"/>
      </w:pPr>
      <w:r>
        <w:rPr>
          <w:rFonts w:ascii="Arial" w:hAnsi="Arial" w:eastAsia="Arial" w:cs="Arial"/>
          <w:sz w:val="18"/>
          <w:szCs w:val="18"/>
          <w:b w:val="1"/>
          <w:bCs w:val="1"/>
        </w:rPr>
        <w:t xml:space="preserve">Día 03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hacer una visita panorámica de la capital de Reino Unido, ciudad emblemática que combina la grandeza de su historia con la vitalidad de una metrópolis global. Haremos un recorrido en autobús para conocer los principales lugares de esta fascinante ciudad. Empezaremos en South Kensington y Knightsbridge, donde encontramos el Royal Albert Hall, el memorial del Príncipe Alberto y dos espectaculares museos, el de Ciencias Naturales y el de Victoria and Albert, muy cerca de los conocidos almacenes Harrods, todo ello en el entorno del auténtico pulmón de la ciudad que es Hyde Park. Seguimos nuestro recorrido por Chelsea con sus exclusivos comercios, Belgravia el barrio de las embajadas, el cinematográfico Mayfair, las renombradas plazas Picadilly Circus y Trafalgar y el 10 de Downing Street. Ya en Westminster podremos fotografiar: la Abadía, las casas del Parlamento y el famoso Big Ben. Terminaremos en el Palacio de Buckingham. Tendrás el resto del día libre.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Acompañados de un guía local, conoceremos dos aspectos muy diferentes de Londres. En primer lugar, realizaremos un viaje en el tiempo visitando el interior de uno de los lugares más emblemáticos de la ciudad: El Museo Británico, donde se albergan las piezas más valiosas de la mayoría de las antiguas civilizaciones como la piedra Rosetta, los frisos del Partenón de Atenas, joyas y momias del antiguo Egipto y un largo etc. A continuación, comenzaremos una visita a pie por el barrio de Covent Garden, un barrio asociado con el espectáculo, uno de los lugares más pintorescos de Londres. Desde Covent Garden, iremos caminando por el barrio del Soho, hasta llegar a las plazas de Leicester y Piccadilly Circus, centro neurálgico del West End de Londres, con sus tiendas, cines y restaurantes.</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“Londres nocturna” (incluida en categorías Selección-Vi y Selección-Si). Junto a un guía local tendrás un primer contacto con la noche londinense, pasando por las zonas más representativas como son el río Támesis, Picadilly Circus, el Soho, la Torre de Londres y su puente, la catedral de San Pablo, la City, entre otros.</w:t>
      </w:r>
    </w:p>
    <w:p>
      <w:pPr>
        <w:jc w:val="both"/>
      </w:pPr>
      <w:r>
        <w:rPr>
          <w:rFonts w:ascii="Arial" w:hAnsi="Arial" w:eastAsia="Arial" w:cs="Arial"/>
          <w:sz w:val="18"/>
          <w:szCs w:val="18"/>
          <w:b w:val="1"/>
          <w:bCs w:val="1"/>
        </w:rPr>
        <w:t xml:space="preserve">Día 04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Oxford y Windsor (incluida en categorías Selección-Vi y Selección-Si). En esta excursión saldremos de Londres, junto a un guía local nos dirigiremos a la ciudad universitaria de Oxford, recorreremos el centro de la ciudad, donde se encuentran sus rincones más emblemáticos como el Puente de los Suspiros, por su parecido con el del Palacio Ducal de Venecia; la Iglesia de Saint Mary; Conmarket, principal arteria comercial de la ciudad, con edificios de indudable carácter medieval y High Street, a lo largo de la cual se siente ese espíritu universitario de Oxford. Por último, nos dirigirnos hacia la campiña inglesa y al romántico valle del Támesis hasta llegar a Windsor, donde podremos descubrir una ciudad especial con animadas calles de trazado medieval, llena de tiendas, pubs pintorescos y casas de época rodeando la plaza Central, donde podremos admirar el majestuoso exterior del Castillo de Windsor, considerado el más grande y más antiguo de los habitados en todo el mundo, siendo una de las residencias oficiales de la monarquía británica desde hace 900 años.</w:t>
      </w:r>
    </w:p>
    <w:p>
      <w:pPr>
        <w:jc w:val="both"/>
      </w:pPr>
      <w:r>
        <w:rPr>
          <w:rFonts w:ascii="Arial" w:hAnsi="Arial" w:eastAsia="Arial" w:cs="Arial"/>
          <w:sz w:val="18"/>
          <w:szCs w:val="18"/>
          <w:b w:val="1"/>
          <w:bCs w:val="1"/>
        </w:rPr>
        <w:t xml:space="preserve">Día 05 Londres –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Folkestone para realizar en 35 minutos la travesía en el shuttle* bajo el Canal de la Mancha y luego dirigirnos hacia Bélgica, donde realizaremos un recorrido por la región de Flandes. A continuación, conoceremos su ciudad más representativa: Brujas, una de las ciudades medievales mejor conservadas de Europa, considerada Patrimonio de la Humanidad. Tarde libre para conocer esta ciudad, donde cada rincón parece sacado de un cuento de hadas. Alojamiento.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“Panorámica de Brujas con paseo en barco por canales” (incluida en categorías Selección-Vi y Selección-Si). En ella realizaremos un bonito recorrido panorámico por los rincones más característicos de la ciudad: la Plaza Mayor, ocupada por antiguos mercados del siglo XIII; la basílica de la Santa Sangre, la Plaza Buró, así como canales, callejuelas y otras originales plazas. Finalizaremos la visita con un agradable paseo en barco que nos permitirá descubrir la ciudad y llegar a rincones inaccesibles, pasando por el puente de San Bonifacio, el lago del amor o el canal Dijver.</w:t>
      </w:r>
    </w:p>
    <w:p>
      <w:pPr>
        <w:jc w:val="both"/>
      </w:pPr>
      <w:r>
        <w:rPr>
          <w:rFonts w:ascii="Arial" w:hAnsi="Arial" w:eastAsia="Arial" w:cs="Arial"/>
          <w:sz w:val="18"/>
          <w:szCs w:val="18"/>
        </w:rPr>
        <w:t xml:space="preserve">***Nota: Eventualmente el cruce de Reino Unido al continente se puede realizar en ferry desde Dover a Calais. El alojamiento se podrá realizar en Brujas o Bruselas indistintamente, manteniendo los servicios del programa.</w:t>
      </w:r>
    </w:p>
    <w:p>
      <w:pPr>
        <w:jc w:val="both"/>
      </w:pPr>
      <w:r>
        <w:rPr>
          <w:rFonts w:ascii="Arial" w:hAnsi="Arial" w:eastAsia="Arial" w:cs="Arial"/>
          <w:sz w:val="18"/>
          <w:szCs w:val="18"/>
          <w:b w:val="1"/>
          <w:bCs w:val="1"/>
        </w:rPr>
        <w:t xml:space="preserve">Día 06 Brujas – Bruselas – La Haya –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donde haremos una visita panorámica. Bruselas, la capital de Bélgica y de la Unión Europea, es una ciudad llena de contrastes. Durante la visita panorámica pasaremos por el Barrio de Sablon, el Palacio de Justicia, el Parlamento Europeo, el Atomium, el Arco del Cincuentenario, la plaza Laeken, la plaza de España, Manneken Pis, etc. Continuaremos nuestro recorrido a pie por su casco antiguo hasta llegar a la Grand Place, con las Casas del Rey, de los Gremios y el Ayuntamiento, en el que destaca la torre de estilo gótico de 96 metros de altura, la cual está rematada con una estatua del arcángel San Miguel, patrón de Bruselas, venciendo al Diablo. Continuaremos hacia La Haya, la ciudad de los palacios y las avenidas, de las embajadas y los ministerios, sede del gobierno de los Países Bajos, del Tribunal Internacional de Justicia y residencia de la familia real holandesa. Tendremos tiempo libre para recorrer sus calles y ver algunos de sus edificios más emblemáticos como el Palacio de la Paz. (Cena incluida en categorías Selección-Co y Selección-Si).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de La Haya y Madurodam”. En ella realizaremos una visita panorámica de la ciudad en la que conoceremos el Parlamento, el Palacio Real, el Tribunal Internacional de Justicia, entre otros, y, además, visitaremos el parque de miniaturas de Madurodam, el lugar perfecto para descubrir, gracias a sus perfectas maquetas que reproducen los lugares más representativos del país, que es lo que hace que los Países Bajos sea un lugar tan especial. Continuación hasta nuestro hotel de Amsterdam.</w:t>
      </w:r>
    </w:p>
    <w:p>
      <w:pPr>
        <w:jc w:val="both"/>
      </w:pPr>
      <w:r>
        <w:rPr>
          <w:rFonts w:ascii="Arial" w:hAnsi="Arial" w:eastAsia="Arial" w:cs="Arial"/>
          <w:sz w:val="18"/>
          <w:szCs w:val="18"/>
          <w:b w:val="1"/>
          <w:bCs w:val="1"/>
        </w:rPr>
        <w:t xml:space="preserve">Día 07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una visita panorámica de la capital de los Países Bajos. Pasaremos por el molino de Rembrandt, donde realizaremos una breve parada, el Centro de Convenciones RAI, la Plaza de los Museos, donde se encuentran la Sala de Conciertos, El Rijksmuseum, Stedelijk Museum y Van Gogh Museum. A continuación pasaremos por Leidseplein, la antigua fábrica de Heineken y el antiguo barrio judío, dejando a nuestro paso el Monumento al Holocausto, las Sinagogas y el mercado de las Pulgas. Finalmente nos dirigiremos hasta el puerto donde veremos los exteriores del Nemo del arquitecto Renzo Piano (Museo de Ciencias) y del Museo Marítimo con su réplica del Amsterdam, un antiguo Galeón del siglo XVIII. Resto del día libre.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barco por algunos de los canales más interesantes de la ciudad. Por último, y para completar la experiencia, te recomendamos realizar una excursión opcional que te sumergirá en la Holanda tradicional, visitando sus pueblos marineros Marken y Volendam, donde verás la perfecta armonía existente entre las diferentes comunidades culturales y religiosas en el país (incluida en categorías Selección-Vi y Selección-Si). En ella saldremos hacia Marken, población pesquera con una larga tradición protestante que originariamente fue una isla y hoy en día está unido a tierra firme por un dique. La siguiente parada será en Volendam, población católica, donde tendremos tiempo libre para realizar compras interesantes y degustar platos de pescado característicos de la región. En ambos pueblos aún se conservan las casas de madera y algunos de sus habitantes visten el traje tradicional del país. Regreso a Ámsterdam.</w:t>
      </w:r>
    </w:p>
    <w:p>
      <w:pPr>
        <w:jc w:val="both"/>
      </w:pPr>
      <w:r>
        <w:rPr>
          <w:rFonts w:ascii="Arial" w:hAnsi="Arial" w:eastAsia="Arial" w:cs="Arial"/>
          <w:sz w:val="18"/>
          <w:szCs w:val="18"/>
          <w:b w:val="1"/>
          <w:bCs w:val="1"/>
        </w:rPr>
        <w:t xml:space="preserve">Día 08 Ámsterdam – Colonia – Crucero por el Rhin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Colonia, ciudad de fundación romana, donde tendremos tiempo libre. En ella destaca su bella Catedral gótica que, con sus 157 metros de altura, fue el edificio más alto del mundo hasta finales el siglo XIX y fue, prácticamente, lo único que quedó en pie tras los bombardeos de la II Guerra Mundial. Por la tarde realizaremos un agradable paseo en barco por la parte más bonita del Rin, en el que pasaremos por el Valle de Loreley, considerado Patrimonio Cultural por la Unesco. Podremos admirar sus pintorescas aldeas, viñedos en terrazas y castillos característicos de la Región de Renania. Desembarque y continuación a Frankfurt donde tendremos tiempo libre para conocer la capital financiera de Alemania, la sede del Banco Central Europeo y que durante siglos, fue el lugar de coronación de los emperadores del Sacro Imperio Romano Germánico. Te recomendamos pasear por la Römerberg, o centro del casco antiguo, con sus casas patricias del siglo XV. (Cena incluida en categorías Selección-Co y Selección-Si). Alojamiento.</w:t>
      </w:r>
    </w:p>
    <w:p>
      <w:pPr>
        <w:jc w:val="both"/>
      </w:pPr>
      <w:r>
        <w:rPr>
          <w:rFonts w:ascii="Arial" w:hAnsi="Arial" w:eastAsia="Arial" w:cs="Arial"/>
          <w:sz w:val="18"/>
          <w:szCs w:val="18"/>
          <w:b w:val="1"/>
          <w:bCs w:val="1"/>
        </w:rPr>
        <w:t xml:space="preserve">Día 09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2026-01-11 2026-02-08 2026-02-22</w:t>
            </w:r>
          </w:p>
        </w:tc>
        <w:tc>
          <w:tcPr>
            <w:tcW w:w="5000" w:type="pct"/>
          </w:tcPr>
          <w:p>
            <w:pPr/>
            <w:r>
              <w:rPr>
                <w:rFonts w:ascii="Arial" w:hAnsi="Arial" w:eastAsia="Arial" w:cs="Arial"/>
                <w:color w:val="000000"/>
                <w:sz w:val="18"/>
                <w:szCs w:val="18"/>
              </w:rPr>
              <w:t xml:space="preserve">$1845</w:t>
            </w:r>
          </w:p>
        </w:tc>
        <w:tc>
          <w:tcPr>
            <w:tcW w:w="5000" w:type="pct"/>
          </w:tcPr>
          <w:p>
            <w:pPr/>
            <w:r>
              <w:rPr>
                <w:rFonts w:ascii="Arial" w:hAnsi="Arial" w:eastAsia="Arial" w:cs="Arial"/>
                <w:color w:val="000000"/>
                <w:sz w:val="18"/>
                <w:szCs w:val="18"/>
              </w:rPr>
              <w:t xml:space="preserve">$1845</w:t>
            </w:r>
          </w:p>
        </w:tc>
        <w:tc>
          <w:tcPr>
            <w:tcW w:w="5000" w:type="pct"/>
          </w:tcPr>
          <w:p>
            <w:pPr/>
            <w:r>
              <w:rPr>
                <w:rFonts w:ascii="Arial" w:hAnsi="Arial" w:eastAsia="Arial" w:cs="Arial"/>
                <w:color w:val="000000"/>
                <w:sz w:val="18"/>
                <w:szCs w:val="18"/>
              </w:rPr>
              <w:t xml:space="preserve">$2590</w:t>
            </w:r>
          </w:p>
        </w:tc>
      </w:tr>
    </w:tbl>
    <w:p>
      <w:pPr>
        <w:jc w:val="start"/>
      </w:pPr>
    </w:p>
    <w:p>
      <w:pPr>
        <w:jc w:val="start"/>
      </w:pPr>
    </w:p>
    <w:p>
      <w:pPr>
        <w:jc w:val="start"/>
      </w:pPr>
      <w:r>
        <w:rPr>
          <w:rFonts w:ascii="Arial" w:hAnsi="Arial" w:eastAsia="Arial" w:cs="Arial"/>
          <w:color w:val="000000"/>
          <w:sz w:val="18"/>
          <w:szCs w:val="18"/>
        </w:rPr>
        <w:t xml:space="preserve">- Precios indicados en USD, pagaderos en moneda nacional al tipo de cambio del día.-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HOTELES PREVISTOS O SIMILARES</w:t>
            </w:r>
          </w:p>
        </w:tc>
      </w:tr>
      <w:tr>
        <w:trPr/>
        <w:tc>
          <w:tcPr>
            <w:tcW w:w="5000" w:type="pct"/>
          </w:tcPr>
          <w:p>
            <w:pPr/>
            <w:r>
              <w:rPr>
                <w:rFonts w:ascii="Arial" w:hAnsi="Arial" w:eastAsia="Arial" w:cs="Arial"/>
                <w:color w:val="000000"/>
                <w:sz w:val="18"/>
                <w:szCs w:val="18"/>
              </w:rPr>
              <w:t xml:space="preserve">PAÍS</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Novotel London West - Copthorne Tara Kensington</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Brujas</w:t>
            </w:r>
          </w:p>
        </w:tc>
        <w:tc>
          <w:tcPr>
            <w:tcW w:w="5000" w:type="pct"/>
          </w:tcPr>
          <w:p>
            <w:pPr/>
            <w:r>
              <w:rPr>
                <w:rFonts w:ascii="Arial" w:hAnsi="Arial" w:eastAsia="Arial" w:cs="Arial"/>
                <w:color w:val="000000"/>
                <w:sz w:val="18"/>
                <w:szCs w:val="18"/>
              </w:rPr>
              <w:t xml:space="preserve">- Martin's Brugge - Nh Brugge</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 NH Amsterdam Zuid - Mercure Amsterdam West</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Novotel Frankfurt City - Leonardo Royal Frankfurt - Leonardo Hotel Frankfurt City South</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start"/>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2CB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A74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7663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QuIt"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2025-07-17T18:59:42-06:00</dcterms:created>
  <dcterms:modified xsi:type="dcterms:W3CDTF">2025-07-17T18:59:42-06:00</dcterms:modified>
</cp:coreProperties>
</file>

<file path=docProps/custom.xml><?xml version="1.0" encoding="utf-8"?>
<Properties xmlns="http://schemas.openxmlformats.org/officeDocument/2006/custom-properties" xmlns:vt="http://schemas.openxmlformats.org/officeDocument/2006/docPropsVTypes"/>
</file>