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Bellezas  de Europa Smart</w:t>
      </w:r>
    </w:p>
    <w:p>
      <w:pPr>
        <w:jc w:val="start"/>
      </w:pPr>
      <w:r>
        <w:rPr>
          <w:rFonts w:ascii="Arial" w:hAnsi="Arial" w:eastAsia="Arial" w:cs="Arial"/>
          <w:sz w:val="22.5"/>
          <w:szCs w:val="22.5"/>
          <w:b w:val="1"/>
          <w:bCs w:val="1"/>
        </w:rPr>
        <w:t xml:space="preserve">MT-16205  </w:t>
      </w:r>
      <w:r>
        <w:rPr>
          <w:rFonts w:ascii="Arial" w:hAnsi="Arial" w:eastAsia="Arial" w:cs="Arial"/>
          <w:sz w:val="22.5"/>
          <w:szCs w:val="22.5"/>
        </w:rPr>
        <w:t xml:space="preserve">- Web: </w:t>
      </w:r>
      <w:hyperlink r:id="rId7" w:history="1">
        <w:r>
          <w:rPr>
            <w:color w:val="blue"/>
          </w:rPr>
          <w:t xml:space="preserve">https://viaje.mt/rMxqO</w:t>
        </w:r>
      </w:hyperlink>
    </w:p>
    <w:p>
      <w:pPr>
        <w:jc w:val="start"/>
      </w:pPr>
      <w:r>
        <w:rPr>
          <w:rFonts w:ascii="Arial" w:hAnsi="Arial" w:eastAsia="Arial" w:cs="Arial"/>
          <w:sz w:val="22.5"/>
          <w:szCs w:val="22.5"/>
          <w:b w:val="1"/>
          <w:bCs w:val="1"/>
        </w:rPr>
        <w:t xml:space="preserve">19 días y 17 noches</w:t>
      </w:r>
    </w:p>
    <w:p>
      <w:pPr>
        <w:jc w:val="start"/>
      </w:pPr>
    </w:p>
    <w:p>
      <w:pPr>
        <w:jc w:val="center"/>
        <w:spacing w:before="450"/>
      </w:pPr>
      <w:r>
        <w:rPr>
          <w:rFonts w:ascii="Arial" w:hAnsi="Arial" w:eastAsia="Arial" w:cs="Arial"/>
          <w:sz w:val="33"/>
          <w:szCs w:val="33"/>
        </w:rPr>
        <w:t xml:space="preserve">Desde $2199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11.2182741116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Febrero:  12</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Francia, Bélgica, Países Bajos, Alemania, República Checa, Eslovaquia, Hungría, Austria, Suiza.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París, Brujas, Bruselas, Delft, La Haya, Ámsterdam, Berlín, Dresde, Praga, Bratislava, Budapest, Viena, Hallstatt, Salzburgo, Múnich, Zúrich, Frankfurt.</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su ciudad para tomar el vuelo con destino a París.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traslado hacia el hotel. Resto del día libre. Posibilidad de realizar tour opcional “Instagram desde París con Crucero”.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panorámica de “La ciudad del amor”, donde recorreremos sus lugares más emblemáticos como la Plaza de la Concordia y disfrutar de su espectacular arquitectura, Panteón, Jardín de Luxemburgo, orillas del rio Sena, Palacio Nacional de los Inválidos donde se encuentra la tumba de Napoleón. Continuaremos la visita en los Campos de Marte para fotografiar la Torre Eiffel. Finalizaremos en el Museo del Perfume para descubrir los secretos de las esencias milenarias uno de los orgullos de Francia. Resto de la tarde libre o posibilidad de realizar tour opcional “Barrio Latino”.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PARÍS – BRUJAS – BRUSELAS  (400 km)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temprano con destino a Brujas, una de las ciudades más pintorescas de Europa, un museo al aire libre hecho de iglesias, casas gremiales y canales famosos, considerado patrimonio de la humanidad y una de las mejores conservadas de la época, nuestro guía nos explicará su importancia histórica en el trayecto, llegada y tiempo libre para explorar esta ciudad o posibilidad de realizar tour. Tiempo libre para almuerzo por su cuenta. A continuación, nos dirigimos a Bruselas, llegada y traslado al hotel. Resto del día libre o posibilidad de realizar tour opcional “Magia medieval en los canales de Brujas” y/o “Viviendo Bruselas”.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BRUSELAS – DELFT – LA HAYA – ÁMSTERDAM (245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Delft, una de las villas más bonitas de Países Bajos, breve recorrido panorámico y a continuación hacia La Haya, capital administrativa, con breve parada para conocer los edificios que contienen distintos organismos del gobierno holandés. Posibilidad de realizar tour opcional “Crucero por los canales Iluminados de Ámsterdam”. Traslado a hotel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ÁMSTERDAM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para visita panorámica a la ciudad más bella y romántica de Europa llamada también “la Venecia del Norte”, llena de coloridas casas, canales y puentes donde se combina la belleza y la cultura. Podremos visitar un centro de los talleres de tallado de diamantes, admirar su arquitectura barroca del siglo XVI y XVII. Tiempo libre o posibilidad de realizar tour opcional “Excursión a Marken y Volendam”.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ÁMSTERDAM – BERLÍN (660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por la autopista para adentrarnos en Alemania, y llegar a su capital monumental ciudad de Berlín, símbolo de la reunificación alemana que aún conserva signo de su reciente pasado de postguerra, y que se ha convertido en un importante centro cosmopolita que marca tendencia.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BERLÍN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para visita panorámica de la ciudad, para familiarizarse con la cultura e historia que alberga cada uno de sus monumentos como la Puerta de Brandeburgo, Parlamento, Reichstag, Postdamer Platz, Alexanderplatz, avenida Kurfusterdamn y los restos del muro que dividía la ciudad hasta 1989. Tarde libre o posibilidad de realizar tour opcional “Viviendo Berlín con Barrio Judío”.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BERLÍN – DRESDE – PRAGA (342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la región de Sajonia para llegar a su antigua capital Dresde, a orillas del Rio Elba, capital de la cultura germánica, que fue reconstruida tras los bombardeos de la II Guerra Mundial. Tiempo libre, para disfrutar de la ciudad o posibilidad de realizar tour opcional “Viviendo Dresde”. Continuación hacia la República Checa para llegar a la ciudad de Praga. Posibilidad de realizar tour opcional “Instagram desde Praga”.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PRAGA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para visita panorámica recorriendo la Plaza Vieja, el famoso reloj Astronómico que funciona desde 1410, cuya atracción son sus tres principales componentes; cuadrante astronómico, figuras animadas de los 12 apóstoles y calendario circular. Recorrido por Malá Strana para conocer la Iglesia de Santa María de la Victoria, el gran edificio de la Opera, la Plaza y Torre Wenceslao, el Puente Carlos y las vistas sobre el río Moldava y la Colina del Castillo. Tiempo libre o posibilidad de realizar tour opcional “Viviendo Praga”.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PRAGA – BRATISLAVA – BUDAPEST (530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la capital Bratislava. Breve parada para conocer la bella capital de Eslovaquia, ciudad bañada por el Danubio, tiempo libre para recorrer sus pequeñas calles, descubrir sus famosas esculturas populares y admirar su famoso Castillo. Continuación del viaje hacia Budapest. Posibilidad de realizar tour opcional “Buda y Crucero por el Danubio”.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BUDAPEST</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para visitar una de las ciudades más bellas de Europa, dividida en dos partes por el Rio Danubio. Recorrido de Pest, famosa por sus bulevares, teatro de la Opera, Parlamento Húngaro, Sinagoga y Basílica de San Esteban. Tarde libre para poder conocer las maravillas de esta ciudad o posibilidad de realizar tour opcional “Cena húngara con Show Folclórico”.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BUDAPEST – VIENA (243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Continuamos ruta a una ciudad con un legado artístico e intelectual que se formó gracias a sus pobladores, Viena. Tiempo libre o posibilidad de realizar tour opcional “Sinfonía en el palacio de Schönbrunn”.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VIENA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Recorrido por la ciudad desde el Danubio y la Catedral de San Esteban, hasta la avenida Ringstrasse, con multitud de edificios históricos como el Palacio de Belvedere, la Opera, el Palacio Real, Ayuntamiento, Iglesia Votiva, pasando por la Prater con la emblemática Noria. Tarde libre o posibilidad de realizar tour opcional “La Viena de Sisi Emperatriz”.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VIENA – HALLSTATT - SALZBURGO – MÚNICH (440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Hallstatt, uno de los pueblos más hermosos, entre las montañas y los lagos de “La novicia rebelde”, con el mismo paisaje que la vecina Suiza. Continuamos a Salzburgo, la ciudad más bonita de Austria, visita panorámica por la ciudad y después tiempo libre (almuerzo no incluido). Continuación hacia Múnich. Llegada al hotel. Tiempo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MÚNICH - ZURICH</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Salimos para conocer Múnich. La primera parada es para conocer el Parque Inglés, con el recinto de los juegos Olímpicos y el exterior del museo BMW. Pasamos por el grandioso palacio Nymphenburg y seguimos al centro histórico para recorrer a pie la zona de Marienplatz donde sorprenden el Rathaus y la Iglesia de Nuestra Señora con su belleza. Posibilidad de realizar el tour opcional “Castillo del Rey Loco”. Continuamos nuestro recorrido a Zurich, ubicado en el corazón de Europa, el cual ofrece todas las comodidades modernas de una metrópolis cosmopolita que sin sacrificar su lado natural es una de las ciudades clasificada durante años como de las mejores por su calidad de vida.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ZURICH – FRANKFURT (392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Frankfurt, con breve tour panorámico del centro histórico. Tiempo libre para compras. Llegada y resto del día libre para actividades personales.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FRANKFURT – PARÍS (572 KM)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Francia. Llegada, tarde libre para compras y disfrutar de las últimas horas en la Ciudad de la Luz.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19   PARÍS-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prevista traslado al aeropuerto para tomar el vuelo de regreso a su ciudad de origen.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$ 2199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$ 2199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$ 3499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Febrero: 12</w:t>
            </w:r>
          </w:p>
        </w:tc>
        <w:tc>
          <w:tcPr>
            <w:tcW w:w="5000" w:type="pct"/>
          </w:tcPr>
          <w:p>
            <w:pPr/>
            <w:r>
              <w:rPr>
                <w:rFonts w:ascii="Arial" w:hAnsi="Arial" w:eastAsia="Arial" w:cs="Arial"/>
                <w:color w:val="000000"/>
                <w:sz w:val="18"/>
                <w:szCs w:val="18"/>
              </w:rPr>
              <w:t xml:space="preserve">$ 299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H4 Hotel Wyndham Paris Pleyel Resort</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Belgica</w:t>
            </w:r>
          </w:p>
        </w:tc>
        <w:tc>
          <w:tcPr>
            <w:tcW w:w="5000" w:type="pct"/>
          </w:tcPr>
          <w:p>
            <w:pPr/>
            <w:r>
              <w:rPr>
                <w:rFonts w:ascii="Arial" w:hAnsi="Arial" w:eastAsia="Arial" w:cs="Arial"/>
                <w:color w:val="000000"/>
                <w:sz w:val="18"/>
                <w:szCs w:val="18"/>
              </w:rPr>
              <w:t xml:space="preserve">Bruselas</w:t>
            </w:r>
          </w:p>
        </w:tc>
        <w:tc>
          <w:tcPr>
            <w:tcW w:w="5000" w:type="pct"/>
          </w:tcPr>
          <w:p>
            <w:pPr/>
            <w:r>
              <w:rPr>
                <w:rFonts w:ascii="Arial" w:hAnsi="Arial" w:eastAsia="Arial" w:cs="Arial"/>
                <w:color w:val="000000"/>
                <w:sz w:val="18"/>
                <w:szCs w:val="18"/>
              </w:rPr>
              <w:t xml:space="preserve">Moxy Brussels City Center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Paises Bajos</w:t>
            </w:r>
          </w:p>
        </w:tc>
        <w:tc>
          <w:tcPr>
            <w:tcW w:w="5000" w:type="pct"/>
          </w:tcPr>
          <w:p>
            <w:pPr/>
            <w:r>
              <w:rPr>
                <w:rFonts w:ascii="Arial" w:hAnsi="Arial" w:eastAsia="Arial" w:cs="Arial"/>
                <w:color w:val="000000"/>
                <w:sz w:val="18"/>
                <w:szCs w:val="18"/>
              </w:rPr>
              <w:t xml:space="preserve">Amsterdam</w:t>
            </w:r>
          </w:p>
        </w:tc>
        <w:tc>
          <w:tcPr>
            <w:tcW w:w="5000" w:type="pct"/>
          </w:tcPr>
          <w:p>
            <w:pPr/>
            <w:r>
              <w:rPr>
                <w:rFonts w:ascii="Arial" w:hAnsi="Arial" w:eastAsia="Arial" w:cs="Arial"/>
                <w:color w:val="000000"/>
                <w:sz w:val="18"/>
                <w:szCs w:val="18"/>
              </w:rPr>
              <w:t xml:space="preserve">Radisson Hotel </w:t>
            </w:r>
            <w:r>
              <w:rPr>
                <w:rFonts w:ascii="Arial" w:hAnsi="Arial" w:eastAsia="Arial" w:cs="Arial"/>
                <w:color w:val="000000"/>
                <w:sz w:val="18"/>
                <w:szCs w:val="18"/>
              </w:rPr>
              <w:t xml:space="preserve"> Suites Amsterdam South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Berlin</w:t>
            </w:r>
          </w:p>
        </w:tc>
        <w:tc>
          <w:tcPr>
            <w:tcW w:w="5000" w:type="pct"/>
          </w:tcPr>
          <w:p>
            <w:pPr/>
            <w:r>
              <w:rPr>
                <w:rFonts w:ascii="Arial" w:hAnsi="Arial" w:eastAsia="Arial" w:cs="Arial"/>
                <w:color w:val="000000"/>
                <w:sz w:val="18"/>
                <w:szCs w:val="18"/>
              </w:rPr>
              <w:t xml:space="preserve">AC Hotel Berlin Humboldthain Park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Republica Checa</w:t>
            </w:r>
          </w:p>
        </w:tc>
        <w:tc>
          <w:tcPr>
            <w:tcW w:w="5000" w:type="pct"/>
          </w:tcPr>
          <w:p>
            <w:pPr/>
            <w:r>
              <w:rPr>
                <w:rFonts w:ascii="Arial" w:hAnsi="Arial" w:eastAsia="Arial" w:cs="Arial"/>
                <w:color w:val="000000"/>
                <w:sz w:val="18"/>
                <w:szCs w:val="18"/>
              </w:rPr>
              <w:t xml:space="preserve">Praga</w:t>
            </w:r>
          </w:p>
        </w:tc>
        <w:tc>
          <w:tcPr>
            <w:tcW w:w="5000" w:type="pct"/>
          </w:tcPr>
          <w:p>
            <w:pPr/>
            <w:r>
              <w:rPr>
                <w:rFonts w:ascii="Arial" w:hAnsi="Arial" w:eastAsia="Arial" w:cs="Arial"/>
                <w:color w:val="000000"/>
                <w:sz w:val="18"/>
                <w:szCs w:val="18"/>
              </w:rPr>
              <w:t xml:space="preserve">Occidental Praha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Hungria</w:t>
            </w:r>
          </w:p>
        </w:tc>
        <w:tc>
          <w:tcPr>
            <w:tcW w:w="5000" w:type="pct"/>
          </w:tcPr>
          <w:p>
            <w:pPr/>
            <w:r>
              <w:rPr>
                <w:rFonts w:ascii="Arial" w:hAnsi="Arial" w:eastAsia="Arial" w:cs="Arial"/>
                <w:color w:val="000000"/>
                <w:sz w:val="18"/>
                <w:szCs w:val="18"/>
              </w:rPr>
              <w:t xml:space="preserve">Budapest</w:t>
            </w:r>
          </w:p>
        </w:tc>
        <w:tc>
          <w:tcPr>
            <w:tcW w:w="5000" w:type="pct"/>
          </w:tcPr>
          <w:p>
            <w:pPr/>
            <w:r>
              <w:rPr>
                <w:rFonts w:ascii="Arial" w:hAnsi="Arial" w:eastAsia="Arial" w:cs="Arial"/>
                <w:color w:val="000000"/>
                <w:sz w:val="18"/>
                <w:szCs w:val="18"/>
              </w:rPr>
              <w:t xml:space="preserve">Exe Budapest Center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Austria</w:t>
            </w:r>
          </w:p>
        </w:tc>
        <w:tc>
          <w:tcPr>
            <w:tcW w:w="5000" w:type="pct"/>
          </w:tcPr>
          <w:p>
            <w:pPr/>
            <w:r>
              <w:rPr>
                <w:rFonts w:ascii="Arial" w:hAnsi="Arial" w:eastAsia="Arial" w:cs="Arial"/>
                <w:color w:val="000000"/>
                <w:sz w:val="18"/>
                <w:szCs w:val="18"/>
              </w:rPr>
              <w:t xml:space="preserve">Viena</w:t>
            </w:r>
          </w:p>
        </w:tc>
        <w:tc>
          <w:tcPr>
            <w:tcW w:w="5000" w:type="pct"/>
          </w:tcPr>
          <w:p>
            <w:pPr/>
            <w:r>
              <w:rPr>
                <w:rFonts w:ascii="Arial" w:hAnsi="Arial" w:eastAsia="Arial" w:cs="Arial"/>
                <w:color w:val="000000"/>
                <w:sz w:val="18"/>
                <w:szCs w:val="18"/>
              </w:rPr>
              <w:t xml:space="preserve">IntercityHotel Wien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Munich</w:t>
            </w:r>
          </w:p>
        </w:tc>
        <w:tc>
          <w:tcPr>
            <w:tcW w:w="5000" w:type="pct"/>
          </w:tcPr>
          <w:p>
            <w:pPr/>
            <w:r>
              <w:rPr>
                <w:rFonts w:ascii="Arial" w:hAnsi="Arial" w:eastAsia="Arial" w:cs="Arial"/>
                <w:color w:val="000000"/>
                <w:sz w:val="18"/>
                <w:szCs w:val="18"/>
              </w:rPr>
              <w:t xml:space="preserve">Achat Hotel München Süd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Frankfurt</w:t>
            </w:r>
          </w:p>
        </w:tc>
        <w:tc>
          <w:tcPr>
            <w:tcW w:w="5000" w:type="pct"/>
          </w:tcPr>
          <w:p>
            <w:pPr/>
            <w:r>
              <w:rPr>
                <w:rFonts w:ascii="Arial" w:hAnsi="Arial" w:eastAsia="Arial" w:cs="Arial"/>
                <w:color w:val="000000"/>
                <w:sz w:val="18"/>
                <w:szCs w:val="18"/>
              </w:rPr>
              <w:t xml:space="preserve">Leonardo Royal Frankfurt O Similar</w:t>
            </w:r>
          </w:p>
        </w:tc>
        <w:tc>
          <w:tcPr>
            <w:tcW w:w="5000" w:type="pct"/>
          </w:tcPr>
          <w:p>
            <w:pPr/>
            <w:r>
              <w:rPr>
                <w:rFonts w:ascii="Arial" w:hAnsi="Arial" w:eastAsia="Arial" w:cs="Arial"/>
                <w:color w:val="000000"/>
                <w:sz w:val="18"/>
                <w:szCs w:val="18"/>
              </w:rPr>
              <w:t xml:space="preserve">Primera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París</w:t>
            </w:r>
          </w:p>
        </w:tc>
        <w:tc>
          <w:tcPr>
            <w:tcW w:w="5000" w:type="pct"/>
          </w:tcPr>
          <w:p>
            <w:pPr/>
            <w:r>
              <w:rPr>
                <w:rFonts w:ascii="Arial" w:hAnsi="Arial" w:eastAsia="Arial" w:cs="Arial"/>
                <w:color w:val="000000"/>
                <w:sz w:val="18"/>
                <w:szCs w:val="18"/>
              </w:rPr>
              <w:t xml:space="preserve">H4 Hotel Wyndham Paris Pleyel Resort</w:t>
            </w:r>
          </w:p>
        </w:tc>
        <w:tc>
          <w:tcPr>
            <w:tcW w:w="5000" w:type="pct"/>
          </w:tcPr>
          <w:p>
            <w:pPr/>
            <w:r>
              <w:rPr>
                <w:rFonts w:ascii="Arial" w:hAnsi="Arial" w:eastAsia="Arial" w:cs="Arial"/>
                <w:color w:val="000000"/>
                <w:sz w:val="18"/>
                <w:szCs w:val="18"/>
              </w:rPr>
              <w:t xml:space="preserve">Primera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París – México, volando en clase turista.</w:t>
      </w:r>
    </w:p>
    <w:p>
      <w:pPr>
        <w:jc w:val="start"/>
      </w:pPr>
      <w:r>
        <w:rPr>
          <w:rFonts w:ascii="Arial" w:hAnsi="Arial" w:eastAsia="Arial" w:cs="Arial"/>
          <w:sz w:val="18"/>
          <w:szCs w:val="18"/>
        </w:rPr>
        <w:t xml:space="preserve">  ● Traslados de llegada y salida, desde los aeropuertos internacionales.</w:t>
      </w:r>
    </w:p>
    <w:p>
      <w:pPr>
        <w:jc w:val="start"/>
      </w:pPr>
      <w:r>
        <w:rPr>
          <w:rFonts w:ascii="Arial" w:hAnsi="Arial" w:eastAsia="Arial" w:cs="Arial"/>
          <w:sz w:val="18"/>
          <w:szCs w:val="18"/>
        </w:rPr>
        <w:t xml:space="preserve">  ● Autobús confortable y moderno.</w:t>
      </w:r>
    </w:p>
    <w:p>
      <w:pPr>
        <w:jc w:val="start"/>
      </w:pPr>
      <w:r>
        <w:rPr>
          <w:rFonts w:ascii="Arial" w:hAnsi="Arial" w:eastAsia="Arial" w:cs="Arial"/>
          <w:sz w:val="18"/>
          <w:szCs w:val="18"/>
        </w:rPr>
        <w:t xml:space="preserve">  ● 17 noches de alojamiento en categoría indicada.</w:t>
      </w:r>
    </w:p>
    <w:p>
      <w:pPr>
        <w:jc w:val="start"/>
      </w:pPr>
      <w:r>
        <w:rPr>
          <w:rFonts w:ascii="Arial" w:hAnsi="Arial" w:eastAsia="Arial" w:cs="Arial"/>
          <w:sz w:val="18"/>
          <w:szCs w:val="18"/>
        </w:rPr>
        <w:t xml:space="preserve">  ● Desayunos, diarios.</w:t>
      </w:r>
    </w:p>
    <w:p>
      <w:pPr>
        <w:jc w:val="start"/>
      </w:pPr>
      <w:r>
        <w:rPr>
          <w:rFonts w:ascii="Arial" w:hAnsi="Arial" w:eastAsia="Arial" w:cs="Arial"/>
          <w:sz w:val="18"/>
          <w:szCs w:val="18"/>
        </w:rPr>
        <w:t xml:space="preserve">  ● Visitas panorámicas de la ciudad de acuerdo con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w:t>
      </w:r>
    </w:p>
    <w:p>
      <w:pPr>
        <w:jc w:val="start"/>
      </w:pPr>
      <w:r>
        <w:rPr>
          <w:rFonts w:ascii="Arial" w:hAnsi="Arial" w:eastAsia="Arial" w:cs="Arial"/>
          <w:sz w:val="18"/>
          <w:szCs w:val="18"/>
        </w:rPr>
        <w:t xml:space="preserve">  ● Tarjeta de asistencia turística básica.*</w:t>
      </w:r>
    </w:p>
    <w:p>
      <w:pPr>
        <w:jc w:val="start"/>
      </w:pPr>
      <w:r>
        <w:rPr>
          <w:rFonts w:ascii="Arial" w:hAnsi="Arial" w:eastAsia="Arial" w:cs="Arial"/>
          <w:sz w:val="18"/>
          <w:szCs w:val="18"/>
        </w:rPr>
        <w:t xml:space="preserve">  ● *Consulte montos de cobertura y si desea ampliarla, los suplementos correspondientes.</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 hrs antes y durante su viaje.</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r>
        <w:rPr>
          <w:rFonts w:ascii="Arial" w:hAnsi="Arial" w:eastAsia="Arial" w:cs="Arial"/>
          <w:sz w:val="18"/>
          <w:szCs w:val="18"/>
        </w:rPr>
        <w:t xml:space="preserve">  ● El seguro turístico incluido tiene una cobertura mínima para Europa.</w:t>
      </w:r>
    </w:p>
    <w:p>
      <w:pPr>
        <w:jc w:val="start"/>
      </w:pPr>
      <w:r>
        <w:rPr>
          <w:rFonts w:ascii="Arial" w:hAnsi="Arial" w:eastAsia="Arial" w:cs="Arial"/>
          <w:sz w:val="18"/>
          <w:szCs w:val="18"/>
        </w:rPr>
        <w:t xml:space="preserve">  ● Si usted lo requiere, puede comprar un seguro de mayor cobertura; pregunte a su agente de viajes.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En servicios terrestres no se incluyen los traslados de llegada o salida. Excepción de algunas ciudades. Favor de consultar con su ejecutivo</w:t>
      </w:r>
    </w:p>
    <w:p>
      <w:pPr>
        <w:jc w:val="start"/>
      </w:pPr>
      <w:r>
        <w:rPr>
          <w:rFonts w:ascii="Arial" w:hAnsi="Arial" w:eastAsia="Arial" w:cs="Arial"/>
          <w:sz w:val="18"/>
          <w:szCs w:val="18"/>
        </w:rPr>
        <w:t xml:space="preserve">La realización de los tours opcionales puede ser en diferentes días y/o sufrir cambios en destino debido a razones operativas, climáticas y/o tráfico. En caso de que el pasajero decida adquirir tours o tickets fuera de nuestros servicios, no podemos responsabilizarnos y/o realizar un reembolso en caso de no ser realizadas.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LAS TARIFAS</w:t>
      </w:r>
    </w:p>
    <w:p>
      <w:pPr>
        <w:jc w:val="start"/>
      </w:pPr>
      <w:r>
        <w:rPr>
          <w:rFonts w:ascii="Arial" w:hAnsi="Arial" w:eastAsia="Arial" w:cs="Arial"/>
          <w:sz w:val="18"/>
          <w:szCs w:val="18"/>
        </w:rPr>
        <w:t xml:space="preserve">El precio de menor se considera entre 4 a 11 años y aplica solo compartiendo habitación con 2 adultos. La habitación lleva una cama supletoria (rollaway bed)</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6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7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rMxqO"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mega-travel-operadora-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2025-12-03T00:20:50-06:00</dcterms:created>
  <dcterms:modified xsi:type="dcterms:W3CDTF">2025-12-03T00:20:50-06:00</dcterms:modified>
</cp:coreProperties>
</file>

<file path=docProps/custom.xml><?xml version="1.0" encoding="utf-8"?>
<Properties xmlns="http://schemas.openxmlformats.org/officeDocument/2006/custom-properties" xmlns:vt="http://schemas.openxmlformats.org/officeDocument/2006/docPropsVTypes"/>
</file>