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Europa Clásica 18</w:t>
      </w:r>
    </w:p>
    <w:p>
      <w:pPr>
        <w:jc w:val="start"/>
      </w:pPr>
      <w:r>
        <w:rPr>
          <w:rFonts w:ascii="Arial" w:hAnsi="Arial" w:eastAsia="Arial" w:cs="Arial"/>
          <w:sz w:val="22.5"/>
          <w:szCs w:val="22.5"/>
          <w:b w:val="1"/>
          <w:bCs w:val="1"/>
        </w:rPr>
        <w:t xml:space="preserve">MT-16303  </w:t>
      </w:r>
      <w:r>
        <w:rPr>
          <w:rFonts w:ascii="Arial" w:hAnsi="Arial" w:eastAsia="Arial" w:cs="Arial"/>
          <w:sz w:val="22.5"/>
          <w:szCs w:val="22.5"/>
        </w:rPr>
        <w:t xml:space="preserve">- Web: </w:t>
      </w:r>
      <w:hyperlink r:id="rId7" w:history="1">
        <w:r>
          <w:rPr>
            <w:color w:val="blue"/>
          </w:rPr>
          <w:t xml:space="preserve">https://viaje.mt/ydxyb</w:t>
        </w:r>
      </w:hyperlink>
    </w:p>
    <w:p>
      <w:pPr>
        <w:jc w:val="start"/>
      </w:pPr>
      <w:r>
        <w:rPr>
          <w:rFonts w:ascii="Arial" w:hAnsi="Arial" w:eastAsia="Arial" w:cs="Arial"/>
          <w:sz w:val="22.5"/>
          <w:szCs w:val="22.5"/>
          <w:b w:val="1"/>
          <w:bCs w:val="1"/>
        </w:rPr>
        <w:t xml:space="preserve">18 días y 16 noches</w:t>
      </w:r>
    </w:p>
    <w:p>
      <w:pPr>
        <w:jc w:val="start"/>
      </w:pPr>
    </w:p>
    <w:p>
      <w:pPr>
        <w:jc w:val="center"/>
        <w:spacing w:before="450"/>
      </w:pPr>
      <w:r>
        <w:rPr>
          <w:rFonts w:ascii="Arial" w:hAnsi="Arial" w:eastAsia="Arial" w:cs="Arial"/>
          <w:sz w:val="33"/>
          <w:szCs w:val="33"/>
        </w:rPr>
        <w:t xml:space="preserve">Desde $2099 </w:t>
      </w:r>
      <w:r>
        <w:rPr>
          <w:rFonts w:ascii="Arial" w:hAnsi="Arial" w:eastAsia="Arial" w:cs="Arial"/>
          <w:sz w:val="25.5"/>
          <w:szCs w:val="25.5"/>
          <w:vertAlign w:val="superscript"/>
        </w:rPr>
        <w:t xml:space="preserve">USD</w:t>
      </w:r>
      <w:r>
        <w:rPr>
          <w:rFonts w:ascii="Arial" w:hAnsi="Arial" w:eastAsia="Arial" w:cs="Arial"/>
          <w:sz w:val="33"/>
          <w:szCs w:val="33"/>
        </w:rPr>
        <w:t xml:space="preserve"> | DBL + 799 IMP</w:t>
      </w:r>
    </w:p>
    <w:p>
      <w:pPr/>
      <w:r>
        <w:pict>
          <v:shape type="#_x0000_t75" stroked="f" style="width:600px; height:336.7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gridCol w:w="5000" w:type="dxa"/>
      </w:tblGrid>
      <w:tblPr>
        <w:jc w:val="end"/>
        <w:tblW w:w="0" w:type="auto"/>
        <w:tblLayout w:type="autofit"/>
        <w:bidiVisual w:val="0"/>
      </w:tblPr>
      <w:tr>
        <w:trPr/>
        <w:tc>
          <w:tcPr>
            <w:tcW w:w="5000" w:type="pct"/>
          </w:tcPr>
          <w:p>
            <w:pPr/>
            <w:r>
              <w:pict>
                <v:shape type="#_x0000_t75" stroked="f" style="width:130px; height:11.218274111675px; margin-left:0px; margin-top:0px; mso-position-horizontal:left; mso-position-vertical:top; mso-position-horizontal-relative:char; mso-position-vertical-relative:line;">
                  <w10:wrap type="inline"/>
                  <v:imagedata r:id="rId9" o:title=""/>
                </v:shape>
              </w:pict>
            </w:r>
          </w:p>
        </w:tc>
        <w:tc>
          <w:tcPr>
            <w:tcW w:w="5000" w:type="pct"/>
          </w:tcPr>
          <w:p>
            <w:pPr/>
            <w:r>
              <w:pict>
                <v:shape type="#_x0000_t75" stroked="f" style="width:130px; height:28.713886300093px; margin-left:0px; margin-top:0px; mso-position-horizontal:left; mso-position-vertical:top; mso-position-horizontal-relative:char; mso-position-vertical-relative:line;">
                  <w10:wrap type="inline"/>
                  <v:imagedata r:id="rId10"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tbl>
      <w:tblGrid>
        <w:gridCol w:w="5000" w:type="dxa"/>
      </w:tblGrid>
      <w:tblPr>
        <w:jc w:val="start"/>
        <w:tblW w:w="5000" w:type="pct"/>
        <w:tblLayout w:type="autofit"/>
        <w:bidiVisual w:val="0"/>
      </w:tblPr>
      <w:tr>
        <w:trPr/>
        <w:tc>
          <w:tcPr>
            <w:tcW w:w="5000" w:type="pct"/>
          </w:tcPr>
          <w:p>
            <w:pPr/>
            <w:r>
              <w:rPr>
                <w:rFonts w:ascii="Arial" w:hAnsi="Arial" w:eastAsia="Arial" w:cs="Arial"/>
                <w:sz w:val="18"/>
                <w:szCs w:val="18"/>
                <w:b w:val="1"/>
                <w:bCs w:val="1"/>
              </w:rPr>
              <w:t xml:space="preserve">2025</w:t>
            </w:r>
          </w:p>
        </w:tc>
      </w:tr>
      <w:tr>
        <w:trPr/>
        <w:tc>
          <w:tcPr>
            <w:tcW w:w="5000" w:type="pct"/>
          </w:tcPr>
          <w:p>
            <w:pPr>
              <w:jc w:val="start"/>
              <w:spacing w:before="0" w:after="0" w:line="24" w:lineRule="auto"/>
            </w:pPr>
          </w:p>
          <w:p>
            <w:pPr>
              <w:jc w:val="start"/>
            </w:pPr>
            <w:r>
              <w:rPr>
                <w:rFonts w:ascii="Arial" w:hAnsi="Arial" w:eastAsia="Arial" w:cs="Arial"/>
                <w:sz w:val="18"/>
                <w:szCs w:val="18"/>
              </w:rPr>
              <w:t xml:space="preserve">Julio:  04,  11,  18,  25</w:t>
            </w:r>
          </w:p>
          <w:p>
            <w:pPr>
              <w:jc w:val="start"/>
              <w:spacing w:before="0" w:after="0" w:line="24" w:lineRule="auto"/>
            </w:pPr>
          </w:p>
          <w:p>
            <w:pPr>
              <w:jc w:val="start"/>
            </w:pPr>
            <w:r>
              <w:rPr>
                <w:rFonts w:ascii="Arial" w:hAnsi="Arial" w:eastAsia="Arial" w:cs="Arial"/>
                <w:sz w:val="18"/>
                <w:szCs w:val="18"/>
              </w:rPr>
              <w:t xml:space="preserve">Agosto:  01,  08,  15</w: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España, Francia, Suiza, Italia.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Madrid, Burgos, Burdeos, Blois, París, Zúrich, Venecia, Roma, Siena, Florencia, Pisa, Niza, Barcelona, Zaragoza.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*SUJETO A CAMBIOS*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01 MÉXICO – MADRID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Presentarse en el aeropuerto de la Ciudad de México para tomar el vuelo con destino a Madrid. Noche a bordo.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02 MADRID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nuestro trasladista le recibirá en el aeropuerto para llevarle a su hotel. Resto del día libre. Posibilidad de realizar tour opcional “Cena con Show Flamenco”.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03 MADRID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Acompañados de un Guía local, tendremos el primer contacto con la ciudad más animada de Europa y disfrutaremos de una visita panorámica, con recorrido a través de las principales avenidas, plazas y monumentos, como Gran Vía, Cibeles y el Ayuntamiento, Puerta de Alcalá, Santiago Bernabéu, Plaza de Toros, Plaza Oriente donde se sitúa el Palacio Real. Tarde libre para pasear por sus calles, compras o posibilidad de realizar tour opcional “Tesoros de Toledo”.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04</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MADRID – BURGOS – BURDEOS (Bus 698 km)</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con dirección al norte de España vía Burgos, haremos una breve parada para admirar su fantástica Catedral Gótica, continuaremos hacia la frontera francesa; llegaremos a la ciudad de Burdeos, capital de la región Nueva Aquitania y Patrimonio de la Humanidad. Podremos apreciar la Place de la Bourse, así como Miroir d’eaur, conocida como “la fuente reflectante más grande del mundo”.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05 BURDEOS – BLOIS – PARÍS (Bus 595 km)</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hacia Paris haciendo una breve parada en Blois, con su Castillo a orillas del Loira. Podremos conocer su casco antiguo, su centro animado y sus hermosos edificios, ideal para recorrer a pie y dejarnos maravillar por su encanto, Tiempo libre y continuamos con nuestro camino hacia París, llegada y posibilidad de realizar tour opcional ”Instagram desde París con Crucero”.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06</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PARÍS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Por la mañana, visita panorámica de “La ciudad del amor”, donde recorreremos sus lugares más emblemáticos como la Plaza de la Concordia, Ópera Garnier y disfrutar de su espectacular arquitectura, Panteón, jardín de Luxemburgo, orillas del rio Sena, Palacio Nacional de los Inválidos donde se encuentra la tumba de Napoleón, continuaremos la visita en los Campos de Marte para fotografiar la Torre Eiffel. Finalizaremos en el Museo del Perfume para descubrir los secretos de las esencias milenarias, uno de los orgullos de Francia. Resto de la tarde libre o posibilidad de realizar tour opcional “Secretos de Versalles” y/o ”Barrio Latino”.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07 PARÍS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para actividades personales o posibilidad de realizar tour opcional “Brujas Encantadora”.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08 PARÍS – ZÚRICH (Bus 600 km)</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hacia la frontera de Suiza, donde haremos algunas paradas panorámicas en miradores para disfrutar de su hermosa naturaleza de montañas y valles. Llegada a Zúrich, ubicado en el corazón de Europa, una metrópilis moderna que, sin sacrificar su lado natural es de las ciudades clasificada durante años como de las mejores por su calidad de vida. Tiempo libre en el centro histórico, junto al lago, donde podrán disfrutar del mejor ambiente. Llegada y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09 ZÚRICH – CANTÓN DE LICERNA – VENECIA (Bus 710 km)</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hacia el cantón de Lucerna, donde se encuentra el majestuoso Monte Titlis con su pico de nieves perpetuas. Tiempo libre para actividades personales o posibilidad de realizar tour opcional “Monte Titlis” Continuaremos hacia Venecia. .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10</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VENECIA – ROMA (530 km)</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Por la mañana realizaremos una vista panorámica por la hermosa ciudad sobre el mar, Venecia declarada patrimonio de la humanidad por la UNESCO es una ciudad única en el mundo que te encanta desde el primer momento que la ves. Finalizando la vista panorámica o posibilidad de realizar tour opcional “Navegando en Góndola por Venecia”. Salida con dirección hacia Roma.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11</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ROMA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Por la mañana tendremos una visita panorámica para explorar los monumentos que hicieron de Roma la Ciudad Eterna, como el Coliseo, el Arco de Constantino, el Circo Máximo, las basílicas del cristianismo Santa María y San Juan, los bulevares de Roma llenos de algunas de las iglesias y palacetes más antiguos del mundo. Para terminar este paseo en la Ciudad del Vaticano. Resto de la tarde libre para actividades personales o posibilidad de realizar tour opcional “Coliseo con Roma Barroca”.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12</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ROMA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para seguir conociendo esta maravillosa ciudad con sus numerosos museos, zonas comerciales o restos arqueológicos o posibilidad de realizar tour opcional “Museos Vaticanos, Capilla Sixtina y Basílica de San Pedro.”.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13 ROMA – SIENA – FLORENCIA (310 km)</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Partiremos hacia Siena, la impresionante ciudadela medieval que domina la campiña toscana. Tiempo libre. Luego nos trasladaremos hacia Florencia, capital de la Toscana y cuna del Renacimiento, donde realizaremos un recorrido a pie por el corazón de la ciudad donde nos dará una impresión de su gloriosa historia, arquitectura y arte. Desde la Piazza de la República llegará al puente más antiguo de Florencia, el Ponte Vecchio, el elegante edificio de la Galería de los Uffizi y la Piazza de la Signoria, la catedral de Santa María del Fiore y el campanario de Giotto.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14</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FLORENCIA – PISA – NIZA (Bus 450 km)</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 la hora prevista traslado hacia Niza con parada para visitar Pisa. Esta ciudad es identificada siempre por su famosa Torre Inclinada. Tendremos tiempo libre para dejarnos asombrar con su Catedral, el Baptisterio, la Plaza de los Milagros. Continuación hacia Niza, ciudad situada en la Costa Azul. Por la noche posibilidad de realizar tour opcional “Elegancia de Mónaco y Montecarlo”.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15 NIZA – BARCELONA (Bus 660 km)</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Seguiremos a Barcelona. Llegada y visita panorámica, pasando por las elegantes avenidas del Example, la Plaza de España con el Arco del Triunfo y la antigua plaza de toros, el paseo marítimo y final en la Sagrada Familia.. Posibilidad de realizar tour opcional “Viviendo Barcelona”.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16</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BARCELONA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para realizar actividades personales.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17 BARCELONA – ZARAGOZA – MADRID (Bus 630 km)</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Vía Zaragoza. Breve parada para conocer la Catedral, Basílica de Nuestra Señora del Pilar, patrona de la Hispanidad y recorrer su casco antiguo. Continuación a Madrid.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18</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MADRID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 la hora prevista traslado al aeropuerto para tomar el vuelo de regreso a su ciudad de origen.</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tblGrid>
      <w:tblPr>
        <w:tblW w:w="0" w:type="auto"/>
        <w:tblLayout w:type="autofit"/>
        <w:bidiVisual w:val="0"/>
      </w:tblPr>
      <w:tr>
        <w:trPr>
          <w:tblHeader w:val="1"/>
        </w:trPr>
        <w:tc>
          <w:tcPr>
            <w:tcW w:w="5000" w:type="pct"/>
            <w:gridSpan w:val="7"/>
          </w:tcPr>
          <w:p>
            <w:pPr/>
            <w:r>
              <w:rPr>
                <w:rFonts w:ascii="Arial" w:hAnsi="Arial" w:eastAsia="Arial" w:cs="Arial"/>
                <w:color w:val="000000"/>
                <w:sz w:val="18"/>
                <w:szCs w:val="18"/>
                <w:b w:val="1"/>
                <w:bCs w:val="1"/>
              </w:rPr>
              <w:t xml:space="preserve">TARIFAS 2025</w:t>
            </w:r>
          </w:p>
        </w:tc>
      </w:tr>
      <w:tr>
        <w:trPr/>
        <w:tc>
          <w:tcPr>
            <w:tcW w:w="5000" w:type="pct"/>
          </w:tcPr>
          <w:p>
            <w:pPr/>
            <w:r>
              <w:rPr>
                <w:rFonts w:ascii="Arial" w:hAnsi="Arial" w:eastAsia="Arial" w:cs="Arial"/>
                <w:color w:val="000000"/>
                <w:sz w:val="18"/>
                <w:szCs w:val="18"/>
              </w:rPr>
              <w:t xml:space="preserve">Doble</w:t>
            </w:r>
          </w:p>
        </w:tc>
        <w:tc>
          <w:tcPr>
            <w:tcW w:w="5000" w:type="pct"/>
          </w:tcPr>
          <w:p>
            <w:pPr/>
            <w:r>
              <w:rPr>
                <w:rFonts w:ascii="Arial" w:hAnsi="Arial" w:eastAsia="Arial" w:cs="Arial"/>
                <w:color w:val="000000"/>
                <w:sz w:val="18"/>
                <w:szCs w:val="18"/>
              </w:rPr>
              <w:t xml:space="preserve">$ 2099</w:t>
            </w:r>
          </w:p>
        </w:tc>
      </w:tr>
      <w:tr>
        <w:trPr/>
        <w:tc>
          <w:tcPr>
            <w:tcW w:w="5000" w:type="pct"/>
          </w:tcPr>
          <w:p>
            <w:pPr/>
            <w:r>
              <w:rPr>
                <w:rFonts w:ascii="Arial" w:hAnsi="Arial" w:eastAsia="Arial" w:cs="Arial"/>
                <w:color w:val="000000"/>
                <w:sz w:val="18"/>
                <w:szCs w:val="18"/>
              </w:rPr>
              <w:t xml:space="preserve">Triple</w:t>
            </w:r>
          </w:p>
        </w:tc>
        <w:tc>
          <w:tcPr>
            <w:tcW w:w="5000" w:type="pct"/>
          </w:tcPr>
          <w:p>
            <w:pPr/>
            <w:r>
              <w:rPr>
                <w:rFonts w:ascii="Arial" w:hAnsi="Arial" w:eastAsia="Arial" w:cs="Arial"/>
                <w:color w:val="000000"/>
                <w:sz w:val="18"/>
                <w:szCs w:val="18"/>
              </w:rPr>
              <w:t xml:space="preserve">$ 2099</w:t>
            </w:r>
          </w:p>
        </w:tc>
      </w:tr>
      <w:tr>
        <w:trPr/>
        <w:tc>
          <w:tcPr>
            <w:tcW w:w="5000" w:type="pct"/>
          </w:tcPr>
          <w:p>
            <w:pPr/>
            <w:r>
              <w:rPr>
                <w:rFonts w:ascii="Arial" w:hAnsi="Arial" w:eastAsia="Arial" w:cs="Arial"/>
                <w:color w:val="000000"/>
                <w:sz w:val="18"/>
                <w:szCs w:val="18"/>
              </w:rPr>
              <w:t xml:space="preserve">Sencilla</w:t>
            </w:r>
          </w:p>
        </w:tc>
        <w:tc>
          <w:tcPr>
            <w:tcW w:w="5000" w:type="pct"/>
          </w:tcPr>
          <w:p>
            <w:pPr/>
            <w:r>
              <w:rPr>
                <w:rFonts w:ascii="Arial" w:hAnsi="Arial" w:eastAsia="Arial" w:cs="Arial"/>
                <w:color w:val="000000"/>
                <w:sz w:val="18"/>
                <w:szCs w:val="18"/>
              </w:rPr>
              <w:t xml:space="preserve">$ 3399</w:t>
            </w:r>
          </w:p>
        </w:tc>
      </w:tr>
      <w:tr>
        <w:trPr/>
        <w:tc>
          <w:tcPr>
            <w:tcW w:w="5000" w:type="pct"/>
          </w:tcPr>
          <w:p>
            <w:pPr/>
            <w:r>
              <w:rPr>
                <w:rFonts w:ascii="Arial" w:hAnsi="Arial" w:eastAsia="Arial" w:cs="Arial"/>
                <w:color w:val="000000"/>
                <w:sz w:val="18"/>
                <w:szCs w:val="18"/>
              </w:rPr>
              <w:t xml:space="preserve">Menor A</w:t>
            </w:r>
          </w:p>
        </w:tc>
        <w:tc>
          <w:tcPr>
            <w:tcW w:w="5000" w:type="pct"/>
          </w:tcPr>
          <w:p>
            <w:pPr/>
            <w:r>
              <w:rPr>
                <w:rFonts w:ascii="Arial" w:hAnsi="Arial" w:eastAsia="Arial" w:cs="Arial"/>
                <w:color w:val="000000"/>
                <w:sz w:val="18"/>
                <w:szCs w:val="18"/>
              </w:rPr>
              <w:t xml:space="preserve">$ 1699</w:t>
            </w:r>
          </w:p>
        </w:tc>
      </w:tr>
    </w:tbl>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Impuestos Aéreos 2025 </w:t>
            </w:r>
          </w:p>
        </w:tc>
        <w:tc>
          <w:tcPr>
            <w:tcW w:w="5000" w:type="pct"/>
          </w:tcPr>
          <w:p>
            <w:pPr/>
            <w:r>
              <w:rPr>
                <w:rFonts w:ascii="Arial" w:hAnsi="Arial" w:eastAsia="Arial" w:cs="Arial"/>
                <w:color w:val="000000"/>
                <w:sz w:val="18"/>
                <w:szCs w:val="18"/>
              </w:rPr>
              <w:t xml:space="preserve">$ 799</w:t>
            </w:r>
          </w:p>
        </w:tc>
      </w:tr>
    </w:tbl>
    <w:tbl>
      <w:tblGrid>
        <w:gridCol w:w="5000" w:type="dxa"/>
        <w:gridCol w:w="5000" w:type="dxa"/>
      </w:tblGrid>
      <w:tblPr>
        <w:tblW w:w="0" w:type="auto"/>
        <w:tblLayout w:type="autofit"/>
        <w:bidiVisual w:val="0"/>
      </w:tblPr>
      <w:tr>
        <w:trPr/>
        <w:tc>
          <w:tcPr>
            <w:tcW w:w="5000" w:type="pct"/>
            <w:gridSpan w:val="2"/>
          </w:tcPr>
          <w:p>
            <w:pPr/>
            <w:r>
              <w:rPr>
                <w:rFonts w:ascii="Arial" w:hAnsi="Arial" w:eastAsia="Arial" w:cs="Arial"/>
                <w:color w:val="000000"/>
                <w:sz w:val="18"/>
                <w:szCs w:val="18"/>
              </w:rPr>
              <w:t xml:space="preserve">SUPLEMENTOS 2025</w:t>
            </w:r>
          </w:p>
        </w:tc>
      </w:tr>
      <w:tr>
        <w:trPr/>
        <w:tc>
          <w:tcPr>
            <w:tcW w:w="5000" w:type="pct"/>
          </w:tcPr>
          <w:p>
            <w:pPr/>
            <w:r>
              <w:rPr>
                <w:rFonts w:ascii="Arial" w:hAnsi="Arial" w:eastAsia="Arial" w:cs="Arial"/>
                <w:color w:val="000000"/>
                <w:sz w:val="18"/>
                <w:szCs w:val="18"/>
              </w:rPr>
              <w:t xml:space="preserve">Agosto: 8, 15</w:t>
            </w:r>
          </w:p>
        </w:tc>
        <w:tc>
          <w:tcPr>
            <w:tcW w:w="5000" w:type="pct"/>
          </w:tcPr>
          <w:p>
            <w:pPr/>
            <w:r>
              <w:rPr>
                <w:rFonts w:ascii="Arial" w:hAnsi="Arial" w:eastAsia="Arial" w:cs="Arial"/>
                <w:color w:val="000000"/>
                <w:sz w:val="18"/>
                <w:szCs w:val="18"/>
              </w:rPr>
              <w:t xml:space="preserve">$ 399</w:t>
            </w:r>
          </w:p>
        </w:tc>
      </w:tr>
      <w:tr>
        <w:trPr/>
        <w:tc>
          <w:tcPr>
            <w:tcW w:w="5000" w:type="pct"/>
          </w:tcPr>
          <w:p>
            <w:pPr/>
            <w:r>
              <w:rPr>
                <w:rFonts w:ascii="Arial" w:hAnsi="Arial" w:eastAsia="Arial" w:cs="Arial"/>
                <w:color w:val="000000"/>
                <w:sz w:val="18"/>
                <w:szCs w:val="18"/>
              </w:rPr>
              <w:t xml:space="preserve">Julio: 4, 11, 18, 25  Agosto: 1</w:t>
            </w:r>
          </w:p>
        </w:tc>
        <w:tc>
          <w:tcPr>
            <w:tcW w:w="5000" w:type="pct"/>
          </w:tcPr>
          <w:p>
            <w:pPr/>
            <w:r>
              <w:rPr>
                <w:rFonts w:ascii="Arial" w:hAnsi="Arial" w:eastAsia="Arial" w:cs="Arial"/>
                <w:color w:val="000000"/>
                <w:sz w:val="18"/>
                <w:szCs w:val="18"/>
              </w:rPr>
              <w:t xml:space="preserve">$ 499</w:t>
            </w:r>
          </w:p>
        </w:tc>
      </w:tr>
    </w:tbl>
    <w:p>
      <w:pPr>
        <w:jc w:val="start"/>
      </w:pPr>
    </w:p>
    <w:p>
      <w:pPr>
        <w:jc w:val="start"/>
      </w:pPr>
    </w:p>
    <w:p>
      <w:pPr>
        <w:jc w:val="start"/>
      </w:pPr>
      <w:r>
        <w:rPr>
          <w:rFonts w:ascii="Arial" w:hAnsi="Arial" w:eastAsia="Arial" w:cs="Arial"/>
          <w:color w:val="000000"/>
          <w:sz w:val="18"/>
          <w:szCs w:val="18"/>
        </w:rPr>
        <w:t xml:space="preserve"> -  Precios indicados por persona en USD         -  Los precios cambian constantemente, así que te sugerimos la verificación de estos, y no utilizar este documento como definitivo, en caso de no encontrar la fecha dentro del recuadro consultar el precio del suplemento con su ejecutivo.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PAÍS</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TIPO</w:t>
            </w:r>
          </w:p>
        </w:tc>
      </w:tr>
      <w:tr>
        <w:trPr/>
        <w:tc>
          <w:tcPr>
            <w:tcW w:w="5000" w:type="pct"/>
          </w:tcPr>
          <w:p>
            <w:pPr/>
            <w:r>
              <w:rPr>
                <w:rFonts w:ascii="Arial" w:hAnsi="Arial" w:eastAsia="Arial" w:cs="Arial"/>
                <w:color w:val="000000"/>
                <w:sz w:val="18"/>
                <w:szCs w:val="18"/>
              </w:rPr>
              <w:t xml:space="preserve">España</w:t>
            </w:r>
          </w:p>
        </w:tc>
        <w:tc>
          <w:tcPr>
            <w:tcW w:w="5000" w:type="pct"/>
          </w:tcPr>
          <w:p>
            <w:pPr/>
            <w:r>
              <w:rPr>
                <w:rFonts w:ascii="Arial" w:hAnsi="Arial" w:eastAsia="Arial" w:cs="Arial"/>
                <w:color w:val="000000"/>
                <w:sz w:val="18"/>
                <w:szCs w:val="18"/>
              </w:rPr>
              <w:t xml:space="preserve">Madrid</w:t>
            </w:r>
          </w:p>
        </w:tc>
        <w:tc>
          <w:tcPr>
            <w:tcW w:w="5000" w:type="pct"/>
          </w:tcPr>
          <w:p>
            <w:pPr/>
            <w:r>
              <w:rPr>
                <w:rFonts w:ascii="Arial" w:hAnsi="Arial" w:eastAsia="Arial" w:cs="Arial"/>
                <w:color w:val="000000"/>
                <w:sz w:val="18"/>
                <w:szCs w:val="18"/>
              </w:rPr>
              <w:t xml:space="preserve">Novotel Madrid Centre O Similar</w:t>
            </w:r>
          </w:p>
        </w:tc>
        <w:tc>
          <w:tcPr>
            <w:tcW w:w="5000" w:type="pct"/>
          </w:tcPr>
          <w:p>
            <w:pPr/>
            <w:r>
              <w:rPr>
                <w:rFonts w:ascii="Arial" w:hAnsi="Arial" w:eastAsia="Arial" w:cs="Arial"/>
                <w:color w:val="000000"/>
                <w:sz w:val="18"/>
                <w:szCs w:val="18"/>
              </w:rPr>
              <w:t xml:space="preserve">Primera</w:t>
            </w:r>
          </w:p>
        </w:tc>
      </w:tr>
      <w:tr>
        <w:trPr/>
        <w:tc>
          <w:tcPr>
            <w:tcW w:w="5000" w:type="pct"/>
          </w:tcPr>
          <w:p>
            <w:pPr/>
            <w:r>
              <w:rPr>
                <w:rFonts w:ascii="Arial" w:hAnsi="Arial" w:eastAsia="Arial" w:cs="Arial"/>
                <w:color w:val="000000"/>
                <w:sz w:val="18"/>
                <w:szCs w:val="18"/>
              </w:rPr>
              <w:t xml:space="preserve">Francia</w:t>
            </w:r>
          </w:p>
        </w:tc>
        <w:tc>
          <w:tcPr>
            <w:tcW w:w="5000" w:type="pct"/>
          </w:tcPr>
          <w:p>
            <w:pPr/>
            <w:r>
              <w:rPr>
                <w:rFonts w:ascii="Arial" w:hAnsi="Arial" w:eastAsia="Arial" w:cs="Arial"/>
                <w:color w:val="000000"/>
                <w:sz w:val="18"/>
                <w:szCs w:val="18"/>
              </w:rPr>
              <w:t xml:space="preserve">Burdeos</w:t>
            </w:r>
          </w:p>
        </w:tc>
        <w:tc>
          <w:tcPr>
            <w:tcW w:w="5000" w:type="pct"/>
          </w:tcPr>
          <w:p>
            <w:pPr/>
            <w:r>
              <w:rPr>
                <w:rFonts w:ascii="Arial" w:hAnsi="Arial" w:eastAsia="Arial" w:cs="Arial"/>
                <w:color w:val="000000"/>
                <w:sz w:val="18"/>
                <w:szCs w:val="18"/>
              </w:rPr>
              <w:t xml:space="preserve">Hotel Mercure Bordeaux Centre Ville O Similar</w:t>
            </w:r>
          </w:p>
        </w:tc>
        <w:tc>
          <w:tcPr>
            <w:tcW w:w="5000" w:type="pct"/>
          </w:tcPr>
          <w:p>
            <w:pPr/>
            <w:r>
              <w:rPr>
                <w:rFonts w:ascii="Arial" w:hAnsi="Arial" w:eastAsia="Arial" w:cs="Arial"/>
                <w:color w:val="000000"/>
                <w:sz w:val="18"/>
                <w:szCs w:val="18"/>
              </w:rPr>
              <w:t xml:space="preserve">Primera</w:t>
            </w:r>
          </w:p>
        </w:tc>
      </w:tr>
      <w:tr>
        <w:trPr/>
        <w:tc>
          <w:tcPr>
            <w:tcW w:w="5000" w:type="pct"/>
          </w:tcPr>
          <w:p>
            <w:pPr/>
            <w:r>
              <w:rPr>
                <w:rFonts w:ascii="Arial" w:hAnsi="Arial" w:eastAsia="Arial" w:cs="Arial"/>
                <w:color w:val="000000"/>
                <w:sz w:val="18"/>
                <w:szCs w:val="18"/>
              </w:rPr>
              <w:t xml:space="preserve">Paris</w:t>
            </w:r>
          </w:p>
        </w:tc>
        <w:tc>
          <w:tcPr>
            <w:tcW w:w="5000" w:type="pct"/>
          </w:tcPr>
          <w:p>
            <w:pPr/>
            <w:r>
              <w:rPr>
                <w:rFonts w:ascii="Arial" w:hAnsi="Arial" w:eastAsia="Arial" w:cs="Arial"/>
                <w:color w:val="000000"/>
                <w:sz w:val="18"/>
                <w:szCs w:val="18"/>
              </w:rPr>
              <w:t xml:space="preserve">H4 Hotel Wyndham Paris Pleyel O Similar</w:t>
            </w:r>
          </w:p>
        </w:tc>
        <w:tc>
          <w:tcPr>
            <w:tcW w:w="5000" w:type="pct"/>
          </w:tcPr>
          <w:p>
            <w:pPr/>
            <w:r>
              <w:rPr>
                <w:rFonts w:ascii="Arial" w:hAnsi="Arial" w:eastAsia="Arial" w:cs="Arial"/>
                <w:color w:val="000000"/>
                <w:sz w:val="18"/>
                <w:szCs w:val="18"/>
              </w:rPr>
              <w:t xml:space="preserve">Primera</w:t>
            </w:r>
          </w:p>
        </w:tc>
      </w:tr>
      <w:tr>
        <w:trPr/>
        <w:tc>
          <w:tcPr>
            <w:tcW w:w="5000" w:type="pct"/>
          </w:tcPr>
          <w:p>
            <w:pPr/>
            <w:r>
              <w:rPr>
                <w:rFonts w:ascii="Arial" w:hAnsi="Arial" w:eastAsia="Arial" w:cs="Arial"/>
                <w:color w:val="000000"/>
                <w:sz w:val="18"/>
                <w:szCs w:val="18"/>
              </w:rPr>
              <w:t xml:space="preserve">Suiza</w:t>
            </w:r>
          </w:p>
        </w:tc>
        <w:tc>
          <w:tcPr>
            <w:tcW w:w="5000" w:type="pct"/>
          </w:tcPr>
          <w:p>
            <w:pPr/>
            <w:r>
              <w:rPr>
                <w:rFonts w:ascii="Arial" w:hAnsi="Arial" w:eastAsia="Arial" w:cs="Arial"/>
                <w:color w:val="000000"/>
                <w:sz w:val="18"/>
                <w:szCs w:val="18"/>
              </w:rPr>
              <w:t xml:space="preserve">Zúrich</w:t>
            </w:r>
          </w:p>
        </w:tc>
        <w:tc>
          <w:tcPr>
            <w:tcW w:w="5000" w:type="pct"/>
          </w:tcPr>
          <w:p>
            <w:pPr/>
            <w:r>
              <w:rPr>
                <w:rFonts w:ascii="Arial" w:hAnsi="Arial" w:eastAsia="Arial" w:cs="Arial"/>
                <w:color w:val="000000"/>
                <w:sz w:val="18"/>
                <w:szCs w:val="18"/>
              </w:rPr>
              <w:t xml:space="preserve">Mercure Zúrich O Similar</w:t>
            </w:r>
          </w:p>
        </w:tc>
        <w:tc>
          <w:tcPr>
            <w:tcW w:w="5000" w:type="pct"/>
          </w:tcPr>
          <w:p>
            <w:pPr/>
            <w:r>
              <w:rPr>
                <w:rFonts w:ascii="Arial" w:hAnsi="Arial" w:eastAsia="Arial" w:cs="Arial"/>
                <w:color w:val="000000"/>
                <w:sz w:val="18"/>
                <w:szCs w:val="18"/>
              </w:rPr>
              <w:t xml:space="preserve">Primera</w:t>
            </w:r>
          </w:p>
        </w:tc>
      </w:tr>
      <w:tr>
        <w:trPr/>
        <w:tc>
          <w:tcPr>
            <w:tcW w:w="5000" w:type="pct"/>
          </w:tcPr>
          <w:p>
            <w:pPr/>
            <w:r>
              <w:rPr>
                <w:rFonts w:ascii="Arial" w:hAnsi="Arial" w:eastAsia="Arial" w:cs="Arial"/>
                <w:color w:val="000000"/>
                <w:sz w:val="18"/>
                <w:szCs w:val="18"/>
              </w:rPr>
              <w:t xml:space="preserve">Italia</w:t>
            </w:r>
          </w:p>
        </w:tc>
        <w:tc>
          <w:tcPr>
            <w:tcW w:w="5000" w:type="pct"/>
          </w:tcPr>
          <w:p>
            <w:pPr/>
            <w:r>
              <w:rPr>
                <w:rFonts w:ascii="Arial" w:hAnsi="Arial" w:eastAsia="Arial" w:cs="Arial"/>
                <w:color w:val="000000"/>
                <w:sz w:val="18"/>
                <w:szCs w:val="18"/>
              </w:rPr>
              <w:t xml:space="preserve">Venecia</w:t>
            </w:r>
          </w:p>
        </w:tc>
        <w:tc>
          <w:tcPr>
            <w:tcW w:w="5000" w:type="pct"/>
          </w:tcPr>
          <w:p>
            <w:pPr/>
            <w:r>
              <w:rPr>
                <w:rFonts w:ascii="Arial" w:hAnsi="Arial" w:eastAsia="Arial" w:cs="Arial"/>
                <w:color w:val="000000"/>
                <w:sz w:val="18"/>
                <w:szCs w:val="18"/>
              </w:rPr>
              <w:t xml:space="preserve">Leonardo Venice Mestre O Similar</w:t>
            </w:r>
          </w:p>
        </w:tc>
        <w:tc>
          <w:tcPr>
            <w:tcW w:w="5000" w:type="pct"/>
          </w:tcPr>
          <w:p>
            <w:pPr/>
            <w:r>
              <w:rPr>
                <w:rFonts w:ascii="Arial" w:hAnsi="Arial" w:eastAsia="Arial" w:cs="Arial"/>
                <w:color w:val="000000"/>
                <w:sz w:val="18"/>
                <w:szCs w:val="18"/>
              </w:rPr>
              <w:t xml:space="preserve">Primera</w:t>
            </w:r>
          </w:p>
        </w:tc>
      </w:tr>
      <w:tr>
        <w:trPr/>
        <w:tc>
          <w:tcPr>
            <w:tcW w:w="5000" w:type="pct"/>
          </w:tcPr>
          <w:p>
            <w:pPr/>
            <w:r>
              <w:rPr>
                <w:rFonts w:ascii="Arial" w:hAnsi="Arial" w:eastAsia="Arial" w:cs="Arial"/>
                <w:color w:val="000000"/>
                <w:sz w:val="18"/>
                <w:szCs w:val="18"/>
              </w:rPr>
              <w:t xml:space="preserve">Florencia</w:t>
            </w:r>
          </w:p>
        </w:tc>
        <w:tc>
          <w:tcPr>
            <w:tcW w:w="5000" w:type="pct"/>
          </w:tcPr>
          <w:p>
            <w:pPr/>
            <w:r>
              <w:rPr>
                <w:rFonts w:ascii="Arial" w:hAnsi="Arial" w:eastAsia="Arial" w:cs="Arial"/>
                <w:color w:val="000000"/>
                <w:sz w:val="18"/>
                <w:szCs w:val="18"/>
              </w:rPr>
              <w:t xml:space="preserve">Nil Hotel Centro Congress O Similar</w:t>
            </w:r>
          </w:p>
        </w:tc>
        <w:tc>
          <w:tcPr>
            <w:tcW w:w="5000" w:type="pct"/>
          </w:tcPr>
          <w:p>
            <w:pPr/>
            <w:r>
              <w:rPr>
                <w:rFonts w:ascii="Arial" w:hAnsi="Arial" w:eastAsia="Arial" w:cs="Arial"/>
                <w:color w:val="000000"/>
                <w:sz w:val="18"/>
                <w:szCs w:val="18"/>
              </w:rPr>
              <w:t xml:space="preserve">Primera</w:t>
            </w:r>
          </w:p>
        </w:tc>
      </w:tr>
      <w:tr>
        <w:trPr/>
        <w:tc>
          <w:tcPr>
            <w:tcW w:w="5000" w:type="pct"/>
          </w:tcPr>
          <w:p>
            <w:pPr/>
            <w:r>
              <w:rPr>
                <w:rFonts w:ascii="Arial" w:hAnsi="Arial" w:eastAsia="Arial" w:cs="Arial"/>
                <w:color w:val="000000"/>
                <w:sz w:val="18"/>
                <w:szCs w:val="18"/>
              </w:rPr>
              <w:t xml:space="preserve">Roma</w:t>
            </w:r>
          </w:p>
        </w:tc>
        <w:tc>
          <w:tcPr>
            <w:tcW w:w="5000" w:type="pct"/>
          </w:tcPr>
          <w:p>
            <w:pPr/>
            <w:r>
              <w:rPr>
                <w:rFonts w:ascii="Arial" w:hAnsi="Arial" w:eastAsia="Arial" w:cs="Arial"/>
                <w:color w:val="000000"/>
                <w:sz w:val="18"/>
                <w:szCs w:val="18"/>
              </w:rPr>
              <w:t xml:space="preserve">Hotel Caravel O Similar</w:t>
            </w:r>
          </w:p>
        </w:tc>
        <w:tc>
          <w:tcPr>
            <w:tcW w:w="5000" w:type="pct"/>
          </w:tcPr>
          <w:p>
            <w:pPr/>
            <w:r>
              <w:rPr>
                <w:rFonts w:ascii="Arial" w:hAnsi="Arial" w:eastAsia="Arial" w:cs="Arial"/>
                <w:color w:val="000000"/>
                <w:sz w:val="18"/>
                <w:szCs w:val="18"/>
              </w:rPr>
              <w:t xml:space="preserve">Primera</w:t>
            </w:r>
          </w:p>
        </w:tc>
      </w:tr>
      <w:tr>
        <w:trPr/>
        <w:tc>
          <w:tcPr>
            <w:tcW w:w="5000" w:type="pct"/>
          </w:tcPr>
          <w:p>
            <w:pPr/>
            <w:r>
              <w:rPr>
                <w:rFonts w:ascii="Arial" w:hAnsi="Arial" w:eastAsia="Arial" w:cs="Arial"/>
                <w:color w:val="000000"/>
                <w:sz w:val="18"/>
                <w:szCs w:val="18"/>
              </w:rPr>
              <w:t xml:space="preserve">Francia</w:t>
            </w:r>
          </w:p>
        </w:tc>
        <w:tc>
          <w:tcPr>
            <w:tcW w:w="5000" w:type="pct"/>
          </w:tcPr>
          <w:p>
            <w:pPr/>
            <w:r>
              <w:rPr>
                <w:rFonts w:ascii="Arial" w:hAnsi="Arial" w:eastAsia="Arial" w:cs="Arial"/>
                <w:color w:val="000000"/>
                <w:sz w:val="18"/>
                <w:szCs w:val="18"/>
              </w:rPr>
              <w:t xml:space="preserve">Niza</w:t>
            </w:r>
          </w:p>
        </w:tc>
        <w:tc>
          <w:tcPr>
            <w:tcW w:w="5000" w:type="pct"/>
          </w:tcPr>
          <w:p>
            <w:pPr/>
            <w:r>
              <w:rPr>
                <w:rFonts w:ascii="Arial" w:hAnsi="Arial" w:eastAsia="Arial" w:cs="Arial"/>
                <w:color w:val="000000"/>
                <w:sz w:val="18"/>
                <w:szCs w:val="18"/>
              </w:rPr>
              <w:t xml:space="preserve">Crowne Plaza Grand Arenas O Similar</w:t>
            </w:r>
          </w:p>
        </w:tc>
        <w:tc>
          <w:tcPr>
            <w:tcW w:w="5000" w:type="pct"/>
          </w:tcPr>
          <w:p>
            <w:pPr/>
            <w:r>
              <w:rPr>
                <w:rFonts w:ascii="Arial" w:hAnsi="Arial" w:eastAsia="Arial" w:cs="Arial"/>
                <w:color w:val="000000"/>
                <w:sz w:val="18"/>
                <w:szCs w:val="18"/>
              </w:rPr>
              <w:t xml:space="preserve">Primera</w:t>
            </w:r>
          </w:p>
        </w:tc>
      </w:tr>
      <w:tr>
        <w:trPr/>
        <w:tc>
          <w:tcPr>
            <w:tcW w:w="5000" w:type="pct"/>
          </w:tcPr>
          <w:p>
            <w:pPr/>
            <w:r>
              <w:rPr>
                <w:rFonts w:ascii="Arial" w:hAnsi="Arial" w:eastAsia="Arial" w:cs="Arial"/>
                <w:color w:val="000000"/>
                <w:sz w:val="18"/>
                <w:szCs w:val="18"/>
              </w:rPr>
              <w:t xml:space="preserve">España</w:t>
            </w:r>
          </w:p>
        </w:tc>
        <w:tc>
          <w:tcPr>
            <w:tcW w:w="5000" w:type="pct"/>
          </w:tcPr>
          <w:p>
            <w:pPr/>
            <w:r>
              <w:rPr>
                <w:rFonts w:ascii="Arial" w:hAnsi="Arial" w:eastAsia="Arial" w:cs="Arial"/>
                <w:color w:val="000000"/>
                <w:sz w:val="18"/>
                <w:szCs w:val="18"/>
              </w:rPr>
              <w:t xml:space="preserve">Barcelona</w:t>
            </w:r>
          </w:p>
        </w:tc>
        <w:tc>
          <w:tcPr>
            <w:tcW w:w="5000" w:type="pct"/>
          </w:tcPr>
          <w:p>
            <w:pPr/>
            <w:r>
              <w:rPr>
                <w:rFonts w:ascii="Arial" w:hAnsi="Arial" w:eastAsia="Arial" w:cs="Arial"/>
                <w:color w:val="000000"/>
                <w:sz w:val="18"/>
                <w:szCs w:val="18"/>
              </w:rPr>
              <w:t xml:space="preserve">Hotel Hesperia Barcelona Sant Just O Similar</w:t>
            </w:r>
          </w:p>
        </w:tc>
        <w:tc>
          <w:tcPr>
            <w:tcW w:w="5000" w:type="pct"/>
          </w:tcPr>
          <w:p>
            <w:pPr/>
            <w:r>
              <w:rPr>
                <w:rFonts w:ascii="Arial" w:hAnsi="Arial" w:eastAsia="Arial" w:cs="Arial"/>
                <w:color w:val="000000"/>
                <w:sz w:val="18"/>
                <w:szCs w:val="18"/>
              </w:rPr>
              <w:t xml:space="preserve">Primera</w:t>
            </w:r>
          </w:p>
        </w:tc>
      </w:tr>
      <w:tr>
        <w:trPr/>
        <w:tc>
          <w:tcPr>
            <w:tcW w:w="5000" w:type="pct"/>
          </w:tcPr>
          <w:p>
            <w:pPr/>
            <w:r>
              <w:rPr>
                <w:rFonts w:ascii="Arial" w:hAnsi="Arial" w:eastAsia="Arial" w:cs="Arial"/>
                <w:color w:val="000000"/>
                <w:sz w:val="18"/>
                <w:szCs w:val="18"/>
              </w:rPr>
              <w:t xml:space="preserve">Madrid</w:t>
            </w:r>
          </w:p>
        </w:tc>
        <w:tc>
          <w:tcPr>
            <w:tcW w:w="5000" w:type="pct"/>
          </w:tcPr>
          <w:p>
            <w:pPr/>
            <w:r>
              <w:rPr>
                <w:rFonts w:ascii="Arial" w:hAnsi="Arial" w:eastAsia="Arial" w:cs="Arial"/>
                <w:color w:val="000000"/>
                <w:sz w:val="18"/>
                <w:szCs w:val="18"/>
              </w:rPr>
              <w:t xml:space="preserve">Novotel Madrid Centre O Similar</w:t>
            </w:r>
          </w:p>
        </w:tc>
        <w:tc>
          <w:tcPr>
            <w:tcW w:w="5000" w:type="pct"/>
          </w:tcPr>
          <w:p>
            <w:pPr/>
            <w:r>
              <w:rPr>
                <w:rFonts w:ascii="Arial" w:hAnsi="Arial" w:eastAsia="Arial" w:cs="Arial"/>
                <w:color w:val="000000"/>
                <w:sz w:val="18"/>
                <w:szCs w:val="18"/>
              </w:rPr>
              <w:t xml:space="preserve">Primera</w:t>
            </w:r>
          </w:p>
        </w:tc>
      </w:tr>
      <w:tr>
        <w:trPr/>
        <w:tc>
          <w:tcPr>
            <w:tcW w:w="5000" w:type="pct"/>
            <w:gridSpan w:val="4"/>
          </w:tcPr>
          <w:p>
            <w:pPr/>
            <w:r>
              <w:rPr>
                <w:rFonts w:ascii="Arial" w:hAnsi="Arial" w:eastAsia="Arial" w:cs="Arial"/>
                <w:color w:val="000000"/>
                <w:sz w:val="18"/>
                <w:szCs w:val="18"/>
              </w:rPr>
              <w:t xml:space="preserve">Ésta es la relación de los hoteles utilizados más frecuentemente en este circuito. Reflejada tan sólo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15/08/2025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MÉXICO – MADRID– MÉXICO, VOLANDO EN CLASE TURISTA</w:t>
      </w:r>
    </w:p>
    <w:p>
      <w:pPr>
        <w:jc w:val="start"/>
      </w:pPr>
      <w:r>
        <w:rPr>
          <w:rFonts w:ascii="Arial" w:hAnsi="Arial" w:eastAsia="Arial" w:cs="Arial"/>
          <w:sz w:val="18"/>
          <w:szCs w:val="18"/>
        </w:rPr>
        <w:t xml:space="preserve">  ● TRASLADOS DE LLEGADA Y SALIDA, DESDE LOS AEROPUERTOS INTERNACIONALES.</w:t>
      </w:r>
    </w:p>
    <w:p>
      <w:pPr>
        <w:jc w:val="start"/>
      </w:pPr>
      <w:r>
        <w:rPr>
          <w:rFonts w:ascii="Arial" w:hAnsi="Arial" w:eastAsia="Arial" w:cs="Arial"/>
          <w:sz w:val="18"/>
          <w:szCs w:val="18"/>
        </w:rPr>
        <w:t xml:space="preserve">  ● AUTOBÚS CONFORTABLE Y MODERNO</w:t>
      </w:r>
    </w:p>
    <w:p>
      <w:pPr>
        <w:jc w:val="start"/>
      </w:pPr>
      <w:r>
        <w:rPr>
          <w:rFonts w:ascii="Arial" w:hAnsi="Arial" w:eastAsia="Arial" w:cs="Arial"/>
          <w:sz w:val="18"/>
          <w:szCs w:val="18"/>
        </w:rPr>
        <w:t xml:space="preserve">  ● 16 NOCHES DE ALOJAMIENTO EN CATEGORÍA INDICADA</w:t>
      </w:r>
    </w:p>
    <w:p>
      <w:pPr>
        <w:jc w:val="start"/>
      </w:pPr>
      <w:r>
        <w:rPr>
          <w:rFonts w:ascii="Arial" w:hAnsi="Arial" w:eastAsia="Arial" w:cs="Arial"/>
          <w:sz w:val="18"/>
          <w:szCs w:val="18"/>
        </w:rPr>
        <w:t xml:space="preserve">  ● DESAYUNOS, DIARIOS</w:t>
      </w:r>
    </w:p>
    <w:p>
      <w:pPr>
        <w:jc w:val="start"/>
      </w:pPr>
      <w:r>
        <w:rPr>
          <w:rFonts w:ascii="Arial" w:hAnsi="Arial" w:eastAsia="Arial" w:cs="Arial"/>
          <w:sz w:val="18"/>
          <w:szCs w:val="18"/>
        </w:rPr>
        <w:t xml:space="preserve">  ● VISITAS PANORÁMICAS DE LA CIUDAD DE ACUERDO CON EL ITINERARIO.</w:t>
      </w:r>
    </w:p>
    <w:p>
      <w:pPr>
        <w:jc w:val="start"/>
      </w:pPr>
      <w:r>
        <w:rPr>
          <w:rFonts w:ascii="Arial" w:hAnsi="Arial" w:eastAsia="Arial" w:cs="Arial"/>
          <w:sz w:val="18"/>
          <w:szCs w:val="18"/>
        </w:rPr>
        <w:t xml:space="preserve">  ● GUÍAS ACOMPAÑANTES DURANTE EL VIAJE</w:t>
      </w:r>
    </w:p>
    <w:p>
      <w:pPr>
        <w:jc w:val="start"/>
      </w:pPr>
      <w:r>
        <w:rPr>
          <w:rFonts w:ascii="Arial" w:hAnsi="Arial" w:eastAsia="Arial" w:cs="Arial"/>
          <w:sz w:val="18"/>
          <w:szCs w:val="18"/>
        </w:rPr>
        <w:t xml:space="preserve">  ● GUÍAS LOCALES EN LAS PRINCIPALES CIUDADES</w:t>
      </w:r>
    </w:p>
    <w:p>
      <w:pPr>
        <w:jc w:val="start"/>
      </w:pPr>
      <w:r>
        <w:rPr>
          <w:rFonts w:ascii="Arial" w:hAnsi="Arial" w:eastAsia="Arial" w:cs="Arial"/>
          <w:sz w:val="18"/>
          <w:szCs w:val="18"/>
        </w:rPr>
        <w:t xml:space="preserve">  ● TARJETA DE ASISTENCIA TURÍSTICA BÁSICA*</w:t>
      </w:r>
    </w:p>
    <w:p>
      <w:pPr>
        <w:jc w:val="start"/>
      </w:pPr>
      <w:r>
        <w:rPr>
          <w:rFonts w:ascii="Arial" w:hAnsi="Arial" w:eastAsia="Arial" w:cs="Arial"/>
          <w:sz w:val="18"/>
          <w:szCs w:val="18"/>
        </w:rPr>
        <w:t xml:space="preserve">  ● *CONSULTE MONTOS DE COBERTURA Y SI DESEA AMPLIARLA LOS SUPLEMENTOS CORRESPONDIENTES.</w:t>
      </w:r>
    </w:p>
    <w:p>
      <w:pPr>
        <w:jc w:val="start"/>
      </w:pPr>
      <w:r>
        <w:rPr>
          <w:rFonts w:ascii="Arial" w:hAnsi="Arial" w:eastAsia="Arial" w:cs="Arial"/>
          <w:sz w:val="18"/>
          <w:szCs w:val="18"/>
        </w:rPr>
        <w:t xml:space="preserve">  ● NUESTROS PRECIOS INCLUYEN TODAS LAS TASAS DE ALOJAMIENTO.</w:t>
      </w:r>
    </w:p>
    <w:p>
      <w:pPr>
        <w:jc w:val="start"/>
      </w:pPr>
      <w:r>
        <w:rPr>
          <w:rFonts w:ascii="Arial" w:hAnsi="Arial" w:eastAsia="Arial" w:cs="Arial"/>
          <w:sz w:val="18"/>
          <w:szCs w:val="18"/>
        </w:rPr>
        <w:t xml:space="preserve">  ● ASISTENCIA 24HRS ANTES Y DURANTE SU VIAJE.</w:t>
      </w:r>
    </w:p>
    <w:p>
      <w:pPr>
        <w:jc w:val="start"/>
      </w:pPr>
      <w:r>
        <w:rPr>
          <w:rFonts w:ascii="Arial" w:hAnsi="Arial" w:eastAsia="Arial" w:cs="Arial"/>
          <w:sz w:val="18"/>
          <w:szCs w:val="18"/>
        </w:rPr>
        <w:t xml:space="preserve">  ● DOCUMENTOS ELECTRÓNICOS CÓDIGO QR (EMPRESA SOCIALMENTE RESPONSABLE CON EL MEDIO AMBIENTE).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SERVICIOS NO ESPECIFICADOS EXCURSIONES SERVICIOS Y ALIMENTOS QUE SE MARCAN COMO OPCIONALES.</w:t>
      </w:r>
    </w:p>
    <w:p>
      <w:pPr>
        <w:jc w:val="start"/>
      </w:pPr>
      <w:r>
        <w:rPr>
          <w:rFonts w:ascii="Arial" w:hAnsi="Arial" w:eastAsia="Arial" w:cs="Arial"/>
          <w:sz w:val="18"/>
          <w:szCs w:val="18"/>
        </w:rPr>
        <w:t xml:space="preserve">  ● GASTOS PERSONALES.</w:t>
      </w:r>
    </w:p>
    <w:p>
      <w:pPr>
        <w:jc w:val="start"/>
      </w:pPr>
      <w:r>
        <w:rPr>
          <w:rFonts w:ascii="Arial" w:hAnsi="Arial" w:eastAsia="Arial" w:cs="Arial"/>
          <w:sz w:val="18"/>
          <w:szCs w:val="18"/>
        </w:rPr>
        <w:t xml:space="preserve">  ● PROPINAS A GUIAS Y CHOFERES.</w:t>
      </w:r>
    </w:p>
    <w:p>
      <w:pPr>
        <w:jc w:val="start"/>
      </w:pPr>
      <w:r>
        <w:rPr>
          <w:rFonts w:ascii="Arial" w:hAnsi="Arial" w:eastAsia="Arial" w:cs="Arial"/>
          <w:sz w:val="18"/>
          <w:szCs w:val="18"/>
        </w:rPr>
        <w:t xml:space="preserve">  ● EL SEGURO TURÍSTICO INCLUIDO TIENE UNA COBERTURA MÍNIMA PARA EUROPA</w:t>
      </w:r>
    </w:p>
    <w:p>
      <w:pPr>
        <w:jc w:val="start"/>
      </w:pPr>
      <w:r>
        <w:rPr>
          <w:rFonts w:ascii="Arial" w:hAnsi="Arial" w:eastAsia="Arial" w:cs="Arial"/>
          <w:sz w:val="18"/>
          <w:szCs w:val="18"/>
        </w:rPr>
        <w:t xml:space="preserve">  ● SI USTED LO REQUIERE PUEDE COMPRAR UN SEGURO DE MAYOR COBERTURA PREGUNTE A SU AGENTE DE VIAJES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IMPORTANTES</w:t>
      </w:r>
    </w:p>
    <w:p>
      <w:pPr>
        <w:jc w:val="start"/>
      </w:pPr>
      <w:r>
        <w:rPr>
          <w:rFonts w:ascii="Arial" w:hAnsi="Arial" w:eastAsia="Arial" w:cs="Arial"/>
          <w:sz w:val="18"/>
          <w:szCs w:val="18"/>
        </w:rPr>
        <w:t xml:space="preserve">Durante la temporada de Jubileo en Roma (de Junio a Agosto), el hospedaje en Roma puede ser otorgado en los alrededores de esta ciudad. De igual manera, por temas de disponibilidad y logística las visitas a los recintos, las visitas al Vaticano y al Coliseo Romano puede que no sean otorgadas.</w:t>
      </w:r>
    </w:p>
    <w:p>
      <w:pPr>
        <w:jc w:val="start"/>
      </w:pPr>
      <w:r>
        <w:rPr>
          <w:rFonts w:ascii="Arial" w:hAnsi="Arial" w:eastAsia="Arial" w:cs="Arial"/>
          <w:sz w:val="18"/>
          <w:szCs w:val="18"/>
        </w:rPr>
        <w:t xml:space="preserve">En servicios terrestres no se incluyen los traslados de llegada o salida. Excepción de algunas ciudades. Favor de consultar con su ejecutivo</w:t>
      </w:r>
    </w:p>
    <w:p>
      <w:pPr>
        <w:jc w:val="start"/>
      </w:pPr>
      <w:r>
        <w:rPr>
          <w:rFonts w:ascii="Arial" w:hAnsi="Arial" w:eastAsia="Arial" w:cs="Arial"/>
          <w:sz w:val="18"/>
          <w:szCs w:val="18"/>
        </w:rPr>
        <w:t xml:space="preserve">La realización de los tours opcionales puede ser en diferentes días y/o sufrir cambios en destino debido a razones operativas, climáticas y/o tráfico. En caso de que el pasajero decida adquirir tours o tickets fuera de nuestros servicios, no podemos responsabilizarnos y/o realizar un reembolso en caso de no ser realizadas.</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1" w:history="1">
        <w:r>
          <w:rPr/>
          <w:t xml:space="preserve">https://cdn.mtmedia25.com/contratos/contratoadhesion-mega-travel-operadora-20241002.pdf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sectPr>
      <w:headerReference w:type="default" r:id="rId12"/>
      <w:footerReference w:type="default" r:id="rId13"/>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AEE6D8D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43A4E53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ydxyb"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image" Target="media/section_image3.png"/><Relationship Id="rId11" Type="http://schemas.openxmlformats.org/officeDocument/2006/relationships/hyperlink" Target="https://cdn.mtmedia25.com/contratos/contratoadhesion-mega-travel-operadora-20241002.pdf" TargetMode="External"/><Relationship Id="rId12" Type="http://schemas.openxmlformats.org/officeDocument/2006/relationships/header" Target="header1.xml"/><Relationship Id="rId13"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2025-04-15T08:03:53-06:00</dcterms:created>
  <dcterms:modified xsi:type="dcterms:W3CDTF">2025-04-15T08:03:53-06:00</dcterms:modified>
</cp:coreProperties>
</file>

<file path=docProps/custom.xml><?xml version="1.0" encoding="utf-8"?>
<Properties xmlns="http://schemas.openxmlformats.org/officeDocument/2006/custom-properties" xmlns:vt="http://schemas.openxmlformats.org/officeDocument/2006/docPropsVTypes"/>
</file>