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Crucero Islas Griegas y el Triángulo Balcánico</w:t>
      </w:r>
    </w:p>
    <w:p>
      <w:pPr>
        <w:jc w:val="start"/>
      </w:pPr>
      <w:r>
        <w:rPr>
          <w:rFonts w:ascii="Arial" w:hAnsi="Arial" w:eastAsia="Arial" w:cs="Arial"/>
          <w:sz w:val="22.5"/>
          <w:szCs w:val="22.5"/>
          <w:b w:val="1"/>
          <w:bCs w:val="1"/>
        </w:rPr>
        <w:t xml:space="preserve">MT-20264  </w:t>
      </w:r>
      <w:r>
        <w:rPr>
          <w:rFonts w:ascii="Arial" w:hAnsi="Arial" w:eastAsia="Arial" w:cs="Arial"/>
          <w:sz w:val="22.5"/>
          <w:szCs w:val="22.5"/>
        </w:rPr>
        <w:t xml:space="preserve">- Web: </w:t>
      </w:r>
      <w:hyperlink r:id="rId7" w:history="1">
        <w:r>
          <w:rPr>
            <w:color w:val="blue"/>
          </w:rPr>
          <w:t xml:space="preserve">https://viaje.mt/yiqsp</w:t>
        </w:r>
      </w:hyperlink>
    </w:p>
    <w:p>
      <w:pPr>
        <w:jc w:val="start"/>
      </w:pPr>
      <w:r>
        <w:rPr>
          <w:rFonts w:ascii="Arial" w:hAnsi="Arial" w:eastAsia="Arial" w:cs="Arial"/>
          <w:sz w:val="22.5"/>
          <w:szCs w:val="22.5"/>
          <w:b w:val="1"/>
          <w:bCs w:val="1"/>
        </w:rPr>
        <w:t xml:space="preserve">14 días y 11 noches</w:t>
      </w:r>
    </w:p>
    <w:p>
      <w:pPr>
        <w:jc w:val="start"/>
      </w:pPr>
    </w:p>
    <w:p>
      <w:pPr>
        <w:jc w:val="center"/>
        <w:spacing w:before="450"/>
      </w:pPr>
      <w:r>
        <w:rPr>
          <w:rFonts w:ascii="Arial" w:hAnsi="Arial" w:eastAsia="Arial" w:cs="Arial"/>
          <w:sz w:val="33"/>
          <w:szCs w:val="33"/>
        </w:rPr>
        <w:t xml:space="preserve">Desde $1599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14,  28</w:t>
            </w:r>
          </w:p>
          <w:p>
            <w:pPr>
              <w:jc w:val="start"/>
              <w:spacing w:before="0" w:after="0" w:line="24" w:lineRule="auto"/>
            </w:pPr>
          </w:p>
          <w:p>
            <w:pPr>
              <w:jc w:val="start"/>
            </w:pPr>
            <w:r>
              <w:rPr>
                <w:rFonts w:ascii="Arial" w:hAnsi="Arial" w:eastAsia="Arial" w:cs="Arial"/>
                <w:sz w:val="18"/>
                <w:szCs w:val="18"/>
              </w:rPr>
              <w:t xml:space="preserve">Julio:  12,  26</w:t>
            </w:r>
          </w:p>
          <w:p>
            <w:pPr>
              <w:jc w:val="start"/>
              <w:spacing w:before="0" w:after="0" w:line="24" w:lineRule="auto"/>
            </w:pPr>
          </w:p>
          <w:p>
            <w:pPr>
              <w:jc w:val="start"/>
            </w:pPr>
            <w:r>
              <w:rPr>
                <w:rFonts w:ascii="Arial" w:hAnsi="Arial" w:eastAsia="Arial" w:cs="Arial"/>
                <w:sz w:val="18"/>
                <w:szCs w:val="18"/>
              </w:rPr>
              <w:t xml:space="preserve">Agosto:  09</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 Grecia, Bulgaria.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Sofia, Edirne, Estambul, Mykonos, Creta, Bodrum, Kos, Atenas, Plovdiv, Veliko Tarnovo.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SOFíA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Internacional Felipe ángeles para abordar vuelo con destino a Sofía, Bulgaria.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02 SOFíA EDIRNE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viaje a la ciudad de Edirne en la República de Turquía. La ciudad hospitalaria y acogedora de Edirne fundada en las orillas del río Tundzha hace varios miles de antilde;os cuenta historias de batallas, victorias y obras maestras. Una de estas obras es la majestuosa mezquita Selimiye con sus finos minaretes tocando el cielo, creada por el arquitecto más famoso del Imperio Otomano, Mimar Sinan. Durante nuestro recorrido por las estrechas calles de la parte central de Edirne veremos también el famoso Mercado Cubierto con sus sabores y aromas únicos, las casas tradicionales y la Gran Sinagoga de Edirne. Luego continuaremos a la ciudad de Estambul.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noche sugerimos realizar tour opcional (con costo adicional) ldquo;PASEO NOCTURNO EN BARCO POR BóSFORO CON CENA INCLUIDArdquo;: Hace 7500 antilde;os el estrecho de Bósforo era un pedazo de tierra conectando los continentes Europa y Asia. Pero entonces ocurrió un terremoto que destruyó esa tierra para conectar el Mar Negro con el Mar Mediterráneo. Hace casi 2000 mil antilde;os en sus ambas orillas creció una de las ciudades más grandes, más bellas e importantes del mundo, llamada hoy día Estambul. Durante nuestro paseo tendremos la única oportunidad de asombrarnos de su inolvidable belleza iluminada.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ESTAMBUL 🚢 MYKONOS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puerto de Estambul para abordar el crucero y realizar un recorrido por las islas griegas. Salida hacia Mykonos a las 18:00hrs.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MYKONOS 🚢 CRETA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Mykonos a las 15:00hrs, crea magníficos recuerdos sumergido en la Pequentilde;a Venecia y entre los floridos balcones del pueblo de Ano Mera, pero no te pierdas delicias como el faro de Armenistis y los molinos de viento de Kato Myli. Salida a las 23:00hrs hacia Creta.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CRETA 🚢 BODRUM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Creta a las 09:00hrs. Rodeada por las cálidas aguas del Egeo, la isla de Creta es la más grande de Grecia y el lugar en el que prosperó la civilización minoica. Tiempo libre y salida a las 19:00hrs hacia Bodrum.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BODRUM 🚢 KOS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Bodrum a las 9:00hrs. Tiempo libre y salida a las 20:00hrs hacia Kos.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KOS 🚢 ATENAS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Kos a las 08:00hrs. Acantilados blancos sobre el mar y calas de arena dorada desde las que darse un bantilde;o en el cristalino mar griego: parece el paraíso, pero es el puerto de Kos. Tiempo libre y salida a las 17:00hrs hacia Atenas.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ATENAS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Llegada a Atenas a las 07:00hrs. Atenas es el enjambre de callejuelas de Monastiraki y Psirri, entre arte callejero, gatos vagabundos y tiendas antiguas. Párate en una taberna para saborear una moussaka de berenjenas, admira el cambio de guardia en la plaza Syntagma y explora toda la maravillosa Acrópolis, que domina la ciudad desde lo alto.Tiempo libre y salida a las 22:00hrs hacia Estambul.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09ALTAMAR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Pensión completa a bordo (sin bebidas). Tiempo libre.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Estambul y desembarque.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con almuerzo en un restaurante de comida típica ldquo;JOYAS DE CONSTANTINOPLArdquo;:Adéntrese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Sofía(entradas no incluidas); y terminaremos nuestro tour el Gran Bazar, uno de los mercados cubiertos más grandes y antiguos del mundo y en el que el regateo es una tradición.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ESTAMBUL PLOVDIV SOFIA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la ciudad búlgara de Plovdiv, la segunda ciudad más grande de Bulgaria y una de las ciudades más antiguas del mundo. Haremos un recorrido por el casco antiguo de Plovdiv disfrutando de monumentos de los tiempos pasados desde la antiguuml;edad hasta hoy día incluyendo un Teatro Romano, una mezquita medieval y la arquitectura de los siglos 18 y 19. Después continuaremos hacia ciudad de Sofia.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excursión opcional (con costo adicional) ldquo;MONASTERIO DE RILArdquo;: El Monasterio de San Juan de Rila, más conocido como ldquo;El monasterio de Rilardquo; es el monasterio cristiano ortodoxo más grande y famoso de Bulgaria y de los Balcanes. El complejo del monasterio construido inicialmente el siglo 10, se considera una de las principales obras maestras del Renacimiento Nacional Búlgaro con su reconstrucción en el siglo 19 y en 1983 fue declarado Sitio del Patrimonio Mundial de la UNESCO.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12SOFIA VELIKO TARNOVO SOFIA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excursión opcional (con costo adicional) ldquo;CIUDAD DE VELIKO TARNOVOrdquo;: La ciudad milenaria de Veliko Tarnovo situada dentro de la Cordillera Balcánica en los pendientes de un meandro del río Yantra es la capital medieval de Bulgaria y la más grande de Europa en los siglos 13 y 14 nos asombra con sus tres fortalezas. Durante nuestro recorrido veremos también la restaurada iglesia del patriarca medieval, las casas de las épocas posteriores y admiraremos la maestría de los artesanos en la calle Samovodska.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13SOFIA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la Ciudad de México.</w:t>
      </w:r>
    </w:p>
    <w:p>
      <w:pPr>
        <w:jc w:val="both"/>
      </w:pPr>
      <w:r>
        <w:rPr>
          <w:rFonts w:ascii="Arial" w:hAnsi="Arial" w:eastAsia="Arial" w:cs="Arial"/>
          <w:sz w:val="18"/>
          <w:szCs w:val="18"/>
        </w:rPr>
        <w:t xml:space="preserve">Este itinerario puede sufrir modificaciones por condiciones de carreteras, clima, otros aspectos no previsibles o disponibilidad al momento de reservar</w:t>
      </w:r>
    </w:p>
    <w:p>
      <w:pPr>
        <w:jc w:val="both"/>
      </w:pPr>
      <w:r>
        <w:rPr>
          <w:rFonts w:ascii="Arial" w:hAnsi="Arial" w:eastAsia="Arial" w:cs="Arial"/>
          <w:sz w:val="18"/>
          <w:szCs w:val="18"/>
        </w:rPr>
        <w:t xml:space="preserve">El orden de los servicios puede cambiar</w:t>
      </w:r>
    </w:p>
    <w:p>
      <w:pPr>
        <w:jc w:val="both"/>
      </w:pPr>
      <w:r>
        <w:rPr>
          <w:rFonts w:ascii="Arial" w:hAnsi="Arial" w:eastAsia="Arial" w:cs="Arial"/>
          <w:sz w:val="18"/>
          <w:szCs w:val="18"/>
        </w:rPr>
        <w:t xml:space="preserve">El descriptivo e itinerario del crucero cambia dependiendo de la fecha de salida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$ 2199</w:t>
            </w:r>
          </w:p>
        </w:tc>
        <w:tc>
          <w:tcPr>
            <w:tcW w:w="5000" w:type="pct"/>
          </w:tcPr>
          <w:p>
            <w:pPr/>
            <w:r>
              <w:rPr>
                <w:rFonts w:ascii="Arial" w:hAnsi="Arial" w:eastAsia="Arial" w:cs="Arial"/>
                <w:color w:val="000000"/>
                <w:sz w:val="18"/>
                <w:szCs w:val="18"/>
              </w:rPr>
              <w:t xml:space="preserve">$ 1599</w:t>
            </w:r>
          </w:p>
        </w:tc>
        <w:tc>
          <w:tcPr>
            <w:tcW w:w="5000" w:type="pct"/>
          </w:tcPr>
          <w:p>
            <w:pPr/>
            <w:r>
              <w:rPr>
                <w:rFonts w:ascii="Arial" w:hAnsi="Arial" w:eastAsia="Arial" w:cs="Arial"/>
                <w:color w:val="000000"/>
                <w:sz w:val="18"/>
                <w:szCs w:val="18"/>
              </w:rPr>
              <w:t xml:space="preserve">$ 1599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14, 28  Agosto: 9</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Julio: 12, 26</w:t>
            </w:r>
          </w:p>
        </w:tc>
        <w:tc>
          <w:tcPr>
            <w:tcW w:w="5000" w:type="pct"/>
          </w:tcPr>
          <w:p>
            <w:pPr/>
            <w:r>
              <w:rPr>
                <w:rFonts w:ascii="Arial" w:hAnsi="Arial" w:eastAsia="Arial" w:cs="Arial"/>
                <w:color w:val="000000"/>
                <w:sz w:val="18"/>
                <w:szCs w:val="18"/>
              </w:rPr>
              <w:t xml:space="preserve">$ 399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4"/>
          </w:tcPr>
          <w:p>
            <w:pPr/>
            <w:r>
              <w:rPr>
                <w:rFonts w:ascii="Arial" w:hAnsi="Arial" w:eastAsia="Arial" w:cs="Arial"/>
                <w:color w:val="000000"/>
                <w:sz w:val="18"/>
                <w:szCs w:val="18"/>
                <w:b w:val="1"/>
                <w:bCs w:val="1"/>
              </w:rPr>
              <w:t xml:space="preserve">HOTELES PREVISTOS O SIMILARES</w:t>
            </w:r>
          </w:p>
        </w:tc>
      </w:tr>
      <w:tr>
        <w:trPr>
          <w:tblHeader w:val="1"/>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Royal Stay Palace</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Turquia</w:t>
            </w:r>
          </w:p>
        </w:tc>
      </w:tr>
      <w:tr>
        <w:trPr/>
        <w:tc>
          <w:tcPr>
            <w:tcW w:w="5000" w:type="pct"/>
          </w:tcPr>
          <w:p>
            <w:pPr/>
            <w:r>
              <w:rPr>
                <w:rFonts w:ascii="Arial" w:hAnsi="Arial" w:eastAsia="Arial" w:cs="Arial"/>
                <w:color w:val="000000"/>
                <w:sz w:val="18"/>
                <w:szCs w:val="18"/>
              </w:rPr>
              <w:t xml:space="preserve">Crucero Islas Griegas</w:t>
            </w:r>
          </w:p>
        </w:tc>
        <w:tc>
          <w:tcPr>
            <w:tcW w:w="5000" w:type="pct"/>
          </w:tcPr>
          <w:p>
            <w:pPr/>
            <w:r>
              <w:rPr>
                <w:rFonts w:ascii="Arial" w:hAnsi="Arial" w:eastAsia="Arial" w:cs="Arial"/>
                <w:color w:val="000000"/>
                <w:sz w:val="18"/>
                <w:szCs w:val="18"/>
              </w:rPr>
              <w:t xml:space="preserve">Islas Griegas</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Grecia</w:t>
            </w:r>
          </w:p>
        </w:tc>
      </w:tr>
      <w:tr>
        <w:trPr/>
        <w:tc>
          <w:tcPr>
            <w:tcW w:w="5000" w:type="pct"/>
          </w:tcPr>
          <w:p>
            <w:pPr/>
            <w:r>
              <w:rPr>
                <w:rFonts w:ascii="Arial" w:hAnsi="Arial" w:eastAsia="Arial" w:cs="Arial"/>
                <w:color w:val="000000"/>
                <w:sz w:val="18"/>
                <w:szCs w:val="18"/>
              </w:rPr>
              <w:t xml:space="preserve">Hotel Grand Astoria</w:t>
            </w:r>
          </w:p>
        </w:tc>
        <w:tc>
          <w:tcPr>
            <w:tcW w:w="5000" w:type="pct"/>
          </w:tcPr>
          <w:p>
            <w:pPr/>
            <w:r>
              <w:rPr>
                <w:rFonts w:ascii="Arial" w:hAnsi="Arial" w:eastAsia="Arial" w:cs="Arial"/>
                <w:color w:val="000000"/>
                <w:sz w:val="18"/>
                <w:szCs w:val="18"/>
              </w:rPr>
              <w:t xml:space="preserve">Sofia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Bulgaria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23/08/2024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Sofía – México, en clase turista.</w:t>
      </w:r>
    </w:p>
    <w:p>
      <w:pPr>
        <w:jc w:val="start"/>
      </w:pPr>
      <w:r>
        <w:rPr>
          <w:rFonts w:ascii="Arial" w:hAnsi="Arial" w:eastAsia="Arial" w:cs="Arial"/>
          <w:sz w:val="18"/>
          <w:szCs w:val="18"/>
        </w:rPr>
        <w:t xml:space="preserve">  ● 2 noches de alojamiento en Estambul.</w:t>
      </w:r>
    </w:p>
    <w:p>
      <w:pPr>
        <w:jc w:val="start"/>
      </w:pPr>
      <w:r>
        <w:rPr>
          <w:rFonts w:ascii="Arial" w:hAnsi="Arial" w:eastAsia="Arial" w:cs="Arial"/>
          <w:sz w:val="18"/>
          <w:szCs w:val="18"/>
        </w:rPr>
        <w:t xml:space="preserve">  ● 7 noches de crucero por las Islas Griegas.</w:t>
      </w:r>
    </w:p>
    <w:p>
      <w:pPr>
        <w:jc w:val="start"/>
      </w:pPr>
      <w:r>
        <w:rPr>
          <w:rFonts w:ascii="Arial" w:hAnsi="Arial" w:eastAsia="Arial" w:cs="Arial"/>
          <w:sz w:val="18"/>
          <w:szCs w:val="18"/>
        </w:rPr>
        <w:t xml:space="preserve">  ● 2 noches de alojamiento en Sofía.</w:t>
      </w:r>
    </w:p>
    <w:p>
      <w:pPr>
        <w:jc w:val="start"/>
      </w:pPr>
      <w:r>
        <w:rPr>
          <w:rFonts w:ascii="Arial" w:hAnsi="Arial" w:eastAsia="Arial" w:cs="Arial"/>
          <w:sz w:val="18"/>
          <w:szCs w:val="18"/>
        </w:rPr>
        <w:t xml:space="preserve">  ● Régimen alimenticio indicado en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Impuestos portuarios: 259 USD por persona (Se pagan desde México)</w:t>
      </w:r>
    </w:p>
    <w:p>
      <w:pPr>
        <w:jc w:val="start"/>
      </w:pPr>
      <w:r>
        <w:rPr>
          <w:rFonts w:ascii="Arial" w:hAnsi="Arial" w:eastAsia="Arial" w:cs="Arial"/>
          <w:sz w:val="18"/>
          <w:szCs w:val="18"/>
        </w:rPr>
        <w:t xml:space="preserve">  ● Propinas en Bulgaria: 5 EUROS por persona al día (Se paga directo en destino)</w:t>
      </w:r>
    </w:p>
    <w:p>
      <w:pPr>
        <w:jc w:val="start"/>
      </w:pPr>
      <w:r>
        <w:rPr>
          <w:rFonts w:ascii="Arial" w:hAnsi="Arial" w:eastAsia="Arial" w:cs="Arial"/>
          <w:sz w:val="18"/>
          <w:szCs w:val="18"/>
        </w:rPr>
        <w:t xml:space="preserve">  ● Visados</w:t>
      </w:r>
    </w:p>
    <w:p>
      <w:pPr>
        <w:jc w:val="start"/>
      </w:pPr>
      <w:r>
        <w:rPr>
          <w:rFonts w:ascii="Arial" w:hAnsi="Arial" w:eastAsia="Arial" w:cs="Arial"/>
          <w:sz w:val="18"/>
          <w:szCs w:val="18"/>
        </w:rPr>
        <w:t xml:space="preserve">  ● Ningún servicio no especificado como incluido o como opcional.</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PASEO NOCTURNO EN BARCO POR BÓSFORO CON CENA INCLUIDA USD 135.00</w:t>
      </w:r>
    </w:p>
    <w:p>
      <w:pPr>
        <w:jc w:val="both"/>
      </w:pPr>
      <w:r>
        <w:rPr>
          <w:rFonts w:ascii="Arial" w:hAnsi="Arial" w:eastAsia="Arial" w:cs="Arial"/>
          <w:sz w:val="18"/>
          <w:szCs w:val="18"/>
        </w:rPr>
        <w:t xml:space="preserve">.</w:t>
      </w:r>
    </w:p>
    <w:p>
      <w:pPr>
        <w:jc w:val="both"/>
      </w:pPr>
      <w:r>
        <w:rPr>
          <w:rFonts w:ascii="Arial" w:hAnsi="Arial" w:eastAsia="Arial" w:cs="Arial"/>
          <w:sz w:val="18"/>
          <w:szCs w:val="18"/>
          <w:b w:val="1"/>
          <w:bCs w:val="1"/>
        </w:rPr>
        <w:t xml:space="preserve">MONASTERIO DE RILA USD 65.00</w:t>
      </w:r>
    </w:p>
    <w:p>
      <w:pPr>
        <w:jc w:val="both"/>
      </w:pPr>
      <w:r>
        <w:rPr>
          <w:rFonts w:ascii="Arial" w:hAnsi="Arial" w:eastAsia="Arial" w:cs="Arial"/>
          <w:sz w:val="18"/>
          <w:szCs w:val="18"/>
        </w:rPr>
        <w:t xml:space="preserve">.</w:t>
      </w:r>
    </w:p>
    <w:p>
      <w:pPr>
        <w:jc w:val="both"/>
      </w:pPr>
      <w:r>
        <w:rPr>
          <w:rFonts w:ascii="Arial" w:hAnsi="Arial" w:eastAsia="Arial" w:cs="Arial"/>
          <w:sz w:val="18"/>
          <w:szCs w:val="18"/>
          <w:b w:val="1"/>
          <w:bCs w:val="1"/>
        </w:rPr>
        <w:t xml:space="preserve">CIUDAD DE VELIKO TARNOVO USD 90.00</w:t>
      </w:r>
    </w:p>
    <w:p>
      <w:pPr>
        <w:jc w:val="both"/>
      </w:pPr>
      <w:r>
        <w:rPr>
          <w:rFonts w:ascii="Arial" w:hAnsi="Arial" w:eastAsia="Arial" w:cs="Arial"/>
          <w:sz w:val="18"/>
          <w:szCs w:val="18"/>
        </w:rPr>
        <w:t xml:space="preserve">.</w:t>
      </w:r>
    </w:p>
    <w:p>
      <w:pPr>
        <w:jc w:val="both"/>
      </w:pPr>
      <w:r>
        <w:rPr>
          <w:rFonts w:ascii="Arial" w:hAnsi="Arial" w:eastAsia="Arial" w:cs="Arial"/>
          <w:sz w:val="18"/>
          <w:szCs w:val="18"/>
          <w:b w:val="1"/>
          <w:bCs w:val="1"/>
        </w:rPr>
        <w:t xml:space="preserve">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sz w:val="18"/>
          <w:szCs w:val="18"/>
          <w:b w:val="1"/>
          <w:bCs w:val="1"/>
        </w:rPr>
        <w:t xml:space="preserve">ENTRADA AL PALACIO DE TOPKAPI Y SANTA SOFIA USD 55.00</w:t>
      </w:r>
    </w:p>
    <w:p>
      <w:pPr>
        <w:jc w:val="both"/>
      </w:pPr>
      <w:r>
        <w:rPr>
          <w:rFonts w:ascii="Arial" w:hAnsi="Arial" w:eastAsia="Arial" w:cs="Arial"/>
          <w:sz w:val="18"/>
          <w:szCs w:val="18"/>
        </w:rPr>
        <w:t xml:space="preserve">.</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EAE4A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B31A9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yiqsp"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2024-05-02T15:57:51-06:00</dcterms:created>
  <dcterms:modified xsi:type="dcterms:W3CDTF">2024-05-02T15:57:51-06:00</dcterms:modified>
</cp:coreProperties>
</file>

<file path=docProps/custom.xml><?xml version="1.0" encoding="utf-8"?>
<Properties xmlns="http://schemas.openxmlformats.org/officeDocument/2006/custom-properties" xmlns:vt="http://schemas.openxmlformats.org/officeDocument/2006/docPropsVTypes"/>
</file>