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r>
        <w:rPr>
          <w:rFonts w:ascii="Arial" w:hAnsi="Arial" w:eastAsia="Arial" w:cs="Arial"/>
          <w:color w:val="2ca1d7"/>
          <w:sz w:val="45"/>
          <w:szCs w:val="45"/>
          <w:b w:val="1"/>
          <w:bCs w:val="1"/>
        </w:rPr>
        <w:t xml:space="preserve">I </w:t>
      </w:r>
      <w:r>
        <w:rPr>
          <w:rFonts w:ascii="Arial" w:hAnsi="Arial" w:eastAsia="Arial" w:cs="Arial"/>
          <w:sz w:val="40.5"/>
          <w:szCs w:val="40.5"/>
          <w:b w:val="1"/>
          <w:bCs w:val="1"/>
        </w:rPr>
        <w:t xml:space="preserve">Volando Kenya</w:t>
      </w:r>
    </w:p>
    <w:p>
      <w:pPr>
        <w:jc w:val="start"/>
      </w:pPr>
      <w:r>
        <w:rPr>
          <w:rFonts w:ascii="Arial" w:hAnsi="Arial" w:eastAsia="Arial" w:cs="Arial"/>
          <w:sz w:val="22.5"/>
          <w:szCs w:val="22.5"/>
          <w:b w:val="1"/>
          <w:bCs w:val="1"/>
        </w:rPr>
        <w:t xml:space="preserve">MT-32053  </w:t>
      </w:r>
      <w:r>
        <w:rPr>
          <w:rFonts w:ascii="Arial" w:hAnsi="Arial" w:eastAsia="Arial" w:cs="Arial"/>
          <w:sz w:val="22.5"/>
          <w:szCs w:val="22.5"/>
        </w:rPr>
        <w:t xml:space="preserve">- Web: </w:t>
      </w:r>
      <w:hyperlink r:id="rId7" w:history="1">
        <w:r>
          <w:rPr>
            <w:color w:val="blue"/>
          </w:rPr>
          <w:t xml:space="preserve">https://viaje.mt/QTOZV</w:t>
        </w:r>
      </w:hyperlink>
    </w:p>
    <w:p>
      <w:pPr>
        <w:jc w:val="start"/>
      </w:pPr>
      <w:r>
        <w:rPr>
          <w:rFonts w:ascii="Arial" w:hAnsi="Arial" w:eastAsia="Arial" w:cs="Arial"/>
          <w:sz w:val="22.5"/>
          <w:szCs w:val="22.5"/>
          <w:b w:val="1"/>
          <w:bCs w:val="1"/>
        </w:rPr>
        <w:t xml:space="preserve">10 días y 6 noches</w:t>
      </w:r>
    </w:p>
    <w:p>
      <w:pPr>
        <w:jc w:val="start"/>
      </w:pPr>
    </w:p>
    <w:p>
      <w:pPr>
        <w:jc w:val="center"/>
        <w:spacing w:before="450"/>
      </w:pPr>
      <w:r>
        <w:rPr>
          <w:rFonts w:ascii="Arial" w:hAnsi="Arial" w:eastAsia="Arial" w:cs="Arial"/>
          <w:sz w:val="33"/>
          <w:szCs w:val="33"/>
        </w:rPr>
        <w:t xml:space="preserve">Desde $3999 </w:t>
      </w:r>
      <w:r>
        <w:rPr>
          <w:rFonts w:ascii="Arial" w:hAnsi="Arial" w:eastAsia="Arial" w:cs="Arial"/>
          <w:sz w:val="25.5"/>
          <w:szCs w:val="25.5"/>
          <w:vertAlign w:val="superscript"/>
        </w:rPr>
        <w:t xml:space="preserve">USD</w:t>
      </w:r>
      <w:r>
        <w:rPr>
          <w:rFonts w:ascii="Arial" w:hAnsi="Arial" w:eastAsia="Arial" w:cs="Arial"/>
          <w:sz w:val="33"/>
          <w:szCs w:val="33"/>
        </w:rPr>
        <w:t xml:space="preserve"> | DBL + 999 IMP</w:t>
      </w:r>
    </w:p>
    <w:p>
      <w:pPr/>
      <w:r>
        <w:pict>
          <v:shape type="#_x0000_t75" stroked="f" style="width:600px; height:336.914062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jc w:val="end"/>
      </w:pPr>
      <w:r>
        <w:rPr>
          <w:rFonts w:ascii="Arial" w:hAnsi="Arial" w:eastAsia="Arial" w:cs="Arial"/>
          <w:sz w:val="22.5"/>
          <w:szCs w:val="22.5"/>
          <w:b w:val="1"/>
          <w:bCs w:val="1"/>
        </w:rPr>
        <w:t xml:space="preserve">Incluye vuelo con</w:t>
      </w:r>
    </w:p>
    <w:tbl>
      <w:tblGrid>
        <w:gridCol w:w="5000" w:type="dxa"/>
      </w:tblGrid>
      <w:tblPr>
        <w:jc w:val="end"/>
        <w:tblW w:w="0" w:type="auto"/>
        <w:tblLayout w:type="autofit"/>
        <w:bidiVisual w:val="0"/>
      </w:tblPr>
      <w:tr>
        <w:trPr/>
        <w:tc>
          <w:tcPr>
            <w:tcW w:w="5000" w:type="pct"/>
          </w:tcPr>
          <w:p>
            <w:pPr/>
            <w:r>
              <w:pict>
                <v:shape type="#_x0000_t75" stroked="f" style="width:130px; height:20.458167330677px; margin-left:0px; margin-top:0px; mso-position-horizontal:left; mso-position-vertical:top; mso-position-horizontal-relative:char; mso-position-vertical-relative:line;">
                  <w10:wrap type="inline"/>
                  <v:imagedata r:id="rId9" o:title=""/>
                </v:shape>
              </w:pict>
            </w:r>
          </w:p>
        </w:tc>
      </w:tr>
    </w:tbl>
    <w:p>
      <w:pPr>
        <w:jc w:val="start"/>
      </w:pPr>
    </w:p>
    <w:p>
      <w:pPr>
        <w:pStyle w:val="Heading4"/>
      </w:pPr>
      <w:r>
        <w:rPr>
          <w:rFonts w:ascii="Arial" w:hAnsi="Arial" w:eastAsia="Arial" w:cs="Arial"/>
          <w:color w:val="2ca1d7"/>
          <w:sz w:val="33"/>
          <w:szCs w:val="33"/>
          <w:b w:val="1"/>
          <w:bCs w:val="1"/>
        </w:rPr>
        <w:t xml:space="preserve">I </w:t>
      </w:r>
      <w:r>
        <w:rPr>
          <w:rFonts w:ascii="Arial" w:hAnsi="Arial" w:eastAsia="Arial" w:cs="Arial"/>
          <w:sz w:val="33"/>
          <w:szCs w:val="33"/>
          <w:b w:val="1"/>
          <w:bCs w:val="1"/>
        </w:rPr>
        <w:t xml:space="preserve">SALIDAS                    </w:t>
      </w:r>
    </w:p>
    <w:p>
      <w:pPr>
        <w:jc w:val="start"/>
      </w:pPr>
    </w:p>
    <w:p>
      <w:pPr>
        <w:jc w:val="start"/>
      </w:pPr>
      <w:r>
        <w:rPr>
          <w:rFonts w:ascii="Arial" w:hAnsi="Arial" w:eastAsia="Arial" w:cs="Arial"/>
          <w:sz w:val="22.5"/>
          <w:szCs w:val="22.5"/>
        </w:rPr>
        <w:t xml:space="preserve">Sábado, Domingo, Jueves (Salida garantizada a partir de 2 pasajeros)</w:t>
      </w:r>
    </w:p>
    <w:p>
      <w:pPr>
        <w:jc w:val="start"/>
      </w:pPr>
    </w:p>
    <w:p>
      <w:pPr>
        <w:pStyle w:val="Heading4"/>
      </w:pPr>
      <w:r>
        <w:rPr>
          <w:rFonts w:ascii="Arial" w:hAnsi="Arial" w:eastAsia="Arial" w:cs="Arial"/>
          <w:color w:val="2ca1d7"/>
          <w:sz w:val="33"/>
          <w:szCs w:val="33"/>
          <w:b w:val="1"/>
          <w:bCs w:val="1"/>
        </w:rPr>
        <w:t xml:space="preserve">I </w:t>
      </w:r>
      <w:r>
        <w:rPr>
          <w:rFonts w:ascii="Arial" w:hAnsi="Arial" w:eastAsia="Arial" w:cs="Arial"/>
          <w:sz w:val="33"/>
          <w:szCs w:val="33"/>
          <w:b w:val="1"/>
          <w:bCs w:val="1"/>
        </w:rPr>
        <w:t xml:space="preserve">PAISES</w:t>
      </w:r>
    </w:p>
    <w:p>
      <w:pPr>
        <w:jc w:val="both"/>
        <w:spacing w:line="432" w:lineRule="auto"/>
      </w:pPr>
      <w:r>
        <w:rPr>
          <w:rFonts w:ascii="Arial" w:hAnsi="Arial" w:eastAsia="Arial" w:cs="Arial"/>
          <w:sz w:val="18"/>
          <w:szCs w:val="18"/>
        </w:rPr>
        <w:t xml:space="preserve">Kenia.</w:t>
      </w:r>
    </w:p>
    <w:p>
      <w:pPr>
        <w:jc w:val="start"/>
      </w:pPr>
    </w:p>
    <w:p>
      <w:pPr>
        <w:pStyle w:val="Heading4"/>
      </w:pPr>
      <w:r>
        <w:rPr>
          <w:rFonts w:ascii="Arial" w:hAnsi="Arial" w:eastAsia="Arial" w:cs="Arial"/>
          <w:color w:val="2ca1d7"/>
          <w:sz w:val="33"/>
          <w:szCs w:val="33"/>
          <w:b w:val="1"/>
          <w:bCs w:val="1"/>
        </w:rPr>
        <w:t xml:space="preserve">I </w:t>
      </w:r>
      <w:r>
        <w:rPr>
          <w:rFonts w:ascii="Arial" w:hAnsi="Arial" w:eastAsia="Arial" w:cs="Arial"/>
          <w:sz w:val="33"/>
          <w:szCs w:val="33"/>
          <w:b w:val="1"/>
          <w:bCs w:val="1"/>
        </w:rPr>
        <w:t xml:space="preserve">CIUDADES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Nairobi, Samburu, Montes Aberdare, Lago Nakuru, Masai Mara.</w:t>
      </w:r>
    </w:p>
    <w:p>
      <w:pPr>
        <w:jc w:val="start"/>
      </w:pPr>
    </w:p>
    <w:p>
      <w:pPr>
        <w:pStyle w:val="Heading4"/>
      </w:pPr>
      <w:r>
        <w:rPr>
          <w:rFonts w:ascii="Arial" w:hAnsi="Arial" w:eastAsia="Arial" w:cs="Arial"/>
          <w:color w:val="2ca1d7"/>
          <w:sz w:val="33"/>
          <w:szCs w:val="33"/>
          <w:b w:val="1"/>
          <w:bCs w:val="1"/>
        </w:rPr>
        <w:t xml:space="preserve">I </w:t>
      </w:r>
      <w:r>
        <w:rPr>
          <w:rFonts w:ascii="Arial" w:hAnsi="Arial" w:eastAsia="Arial" w:cs="Arial"/>
          <w:sz w:val="33"/>
          <w:szCs w:val="33"/>
          <w:b w:val="1"/>
          <w:bCs w:val="1"/>
        </w:rPr>
        <w:t xml:space="preserve">ITINERARIO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Día 01.     MÉXICO ✈ ESTAMBUL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Cita en el aeropuerto de la Ciudad de México para abordar vuelo con destino a Estambul. Vía Cancún. Noche a bordo.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Día 02     ESTAMBUL✈ NAIROBI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Llegada a Estambul y tiempo de espera. Los pasajeros permanecerán en tránsito mientras esperan para tomar el siguiente vuelo con destino a Nairobi. 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Día 03       NAIROBI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Llegada al aeropuerto internacional y traslado al hotel respectivo. El uso de la habitación no está garantizado antes de mediodía. Resto del día libre. Cena en restaurante y Alojamiento.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Día 04      NAIROBI – SAMBURU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Desayuno. Salida hacia la Reserva Nacional  de Samburu vía Karatina y cruzando el Ecuador en Nanyuki. Almuerzo en el lodge. Por la tarde, salida de safari por el parque. , llegando a tiempo para el almuerzo en el  Lodge. Por la tarde salida de Safari por el parque. Cena y Alojamiento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Día 05      SAMBURU – ABERDARES 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Safari al amanecer. Salida hacia la zona de Nyeri, llegando a tiempo para el almuerzo en el  Aberdare Country Club, Por la tarde subida en los vehiculos del hotel al Ank Lodge. Cena y Alojamiento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Día 06      MONTES ABERDARES – LAGO NAKURU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Desayuno salida hacia el Parque Nacional del Lago Nakuru para almuerzo en el Lodge. Safari por la tarde. Cena y Alojamiento.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Día 07      LAGO NAKURU – MAASAI MARA 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 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Desayuno. Salida a la Reserva Nacional de Maasai Mara, vía Narok, para llegar a almorzar. Safari por la tarde. Cena y Alojamiento.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Día 08      MAASAI MARA 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Por la mañana salida para un safari y mas tarde hacia la reserva. Pensión completa. Cena y Alojamiento.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Día 09      MAASAI MARA – NAIROBI ✈ ESTAMBUL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Desayuno. Salida de regreso a Nairobi. Llegada al hotel (uso de habitación no incluido). Por la noche, traslado al aeropuerto para tomar el vuelo con destino a Estambul.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Día 10      ESTAMBUL ✈ MÉXICO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Llegada a Estambul y tiempo de espera. Los pasajeros permanecerán en tránsito mientras esperan para tomar el siguiente vuelo con destino a la Ciudad de México.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* Este itinerario puede sufrir modificaciones por condiciones de carreteras, clima, otros aspectos no previsibles o disponibilidad al momento de reservar.  El orden de los servicios puede cambiar *</w:t>
      </w:r>
    </w:p>
    <w:p>
      <w:pPr>
        <w:jc w:val="start"/>
      </w:pPr>
    </w:p>
    <w:p>
      <w:pPr>
        <w:pStyle w:val="Heading4"/>
      </w:pPr>
      <w:r>
        <w:rPr>
          <w:rFonts w:ascii="Arial" w:hAnsi="Arial" w:eastAsia="Arial" w:cs="Arial"/>
          <w:color w:val="2ca1d7"/>
          <w:sz w:val="33"/>
          <w:szCs w:val="33"/>
          <w:b w:val="1"/>
          <w:bCs w:val="1"/>
        </w:rPr>
        <w:t xml:space="preserve">I </w:t>
      </w:r>
      <w:r>
        <w:rPr>
          <w:rFonts w:ascii="Arial" w:hAnsi="Arial" w:eastAsia="Arial" w:cs="Arial"/>
          <w:sz w:val="33"/>
          <w:szCs w:val="33"/>
          <w:b w:val="1"/>
          <w:bCs w:val="1"/>
        </w:rPr>
        <w:t xml:space="preserve">TARIFAS</w:t>
      </w:r>
    </w:p>
    <w:tbl>
      <w:tblGrid>
        <w:gridCol w:w="5000" w:type="dxa"/>
        <w:gridCol w:w="5000" w:type="dxa"/>
        <w:gridCol w:w="5000" w:type="dxa"/>
      </w:tblGrid>
      <w:tblPr>
        <w:tblW w:w="0" w:type="auto"/>
        <w:tblCellSpacing w:w="0" w:type="dxa"/>
        <w:tblLayout w:type="autofit"/>
        <w:bidiVisual w:val="0"/>
      </w:tblPr>
      <w:tr>
        <w:trPr/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  <w:b w:val="1"/>
                <w:bCs w:val="1"/>
              </w:rPr>
              <w:t xml:space="preserve">TRIPLE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  <w:b w:val="1"/>
                <w:bCs w:val="1"/>
              </w:rPr>
              <w:t xml:space="preserve">DOBLE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  <w:b w:val="1"/>
                <w:bCs w:val="1"/>
              </w:rPr>
              <w:t xml:space="preserve">SGL</w:t>
            </w:r>
          </w:p>
        </w:tc>
      </w:tr>
      <w:tr>
        <w:trPr/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$3,999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$3,999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$4,499</w:t>
            </w:r>
          </w:p>
        </w:tc>
      </w:tr>
    </w:tbl>
    <w:p>
      <w:pPr>
        <w:jc w:val="start"/>
      </w:pPr>
    </w:p>
    <w:p>
      <w:pPr>
        <w:jc w:val="start"/>
      </w:pPr>
    </w:p>
    <w:p>
      <w:pPr>
        <w:jc w:val="start"/>
      </w:pPr>
      <w:r>
        <w:rPr>
          <w:rFonts w:ascii="Arial" w:hAnsi="Arial" w:eastAsia="Arial" w:cs="Arial"/>
          <w:color w:val="000000"/>
          <w:sz w:val="18"/>
          <w:szCs w:val="18"/>
          <w:b w:val="1"/>
          <w:bCs w:val="1"/>
        </w:rPr>
        <w:t xml:space="preserve">IMPUESTOS Y SUPLEMENTOS</w:t>
      </w:r>
    </w:p>
    <w:tbl>
      <w:tblGrid>
        <w:gridCol w:w="5000" w:type="dxa"/>
        <w:gridCol w:w="5000" w:type="dxa"/>
      </w:tblGrid>
      <w:tblPr>
        <w:tblW w:w="0" w:type="auto"/>
        <w:tblLayout w:type="autofit"/>
        <w:bidiVisual w:val="0"/>
      </w:tblPr>
      <w:tr>
        <w:trPr/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Impuestos aéreos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$ 999</w:t>
            </w:r>
          </w:p>
        </w:tc>
      </w:tr>
    </w:tbl>
    <w:p>
      <w:pPr>
        <w:jc w:val="start"/>
      </w:pPr>
      <w:r>
        <w:rPr>
          <w:rFonts w:ascii="Arial" w:hAnsi="Arial" w:eastAsia="Arial" w:cs="Arial"/>
          <w:color w:val="000000"/>
          <w:sz w:val="18"/>
          <w:szCs w:val="18"/>
        </w:rPr>
        <w:t xml:space="preserve">- Precios indicados en usd, pagaderos en moneda nacional al tipo de cambio del día.-</w:t>
      </w:r>
      <w:r>
        <w:rPr>
          <w:rFonts w:ascii="Arial" w:hAnsi="Arial" w:eastAsia="Arial" w:cs="Arial"/>
          <w:color w:val="000000"/>
          <w:sz w:val="18"/>
          <w:szCs w:val="18"/>
        </w:rPr>
        <w:t xml:space="preserve">Sujeto a disponibilidad de servicios terrestres para la fecha solicitada.-</w:t>
      </w:r>
      <w:r>
        <w:rPr>
          <w:rFonts w:ascii="Arial" w:hAnsi="Arial" w:eastAsia="Arial" w:cs="Arial"/>
          <w:color w:val="000000"/>
          <w:sz w:val="18"/>
          <w:szCs w:val="18"/>
        </w:rPr>
        <w:t xml:space="preserve">Precios sujetos a cambios sin previo aviso y a confirmacion.- Pueden aplicar suplementos según fecha de salida y disponibilidad aérea- Consultar tarifas y suplementos para navidad, año nuevo y pascua.</w:t>
      </w:r>
    </w:p>
    <w:p>
      <w:pPr>
        <w:jc w:val="start"/>
      </w:pPr>
    </w:p>
    <w:p>
      <w:pPr>
        <w:pStyle w:val="Heading4"/>
      </w:pPr>
      <w:r>
        <w:rPr>
          <w:rFonts w:ascii="Arial" w:hAnsi="Arial" w:eastAsia="Arial" w:cs="Arial"/>
          <w:color w:val="2ca1d7"/>
          <w:sz w:val="33"/>
          <w:szCs w:val="33"/>
          <w:b w:val="1"/>
          <w:bCs w:val="1"/>
        </w:rPr>
        <w:t xml:space="preserve">I </w:t>
      </w:r>
      <w:r>
        <w:rPr>
          <w:rFonts w:ascii="Arial" w:hAnsi="Arial" w:eastAsia="Arial" w:cs="Arial"/>
          <w:sz w:val="33"/>
          <w:szCs w:val="33"/>
          <w:b w:val="1"/>
          <w:bCs w:val="1"/>
        </w:rPr>
        <w:t xml:space="preserve">HOTELES</w:t>
      </w:r>
    </w:p>
    <w:tbl>
      <w:tblGrid>
        <w:gridCol w:w="5000" w:type="dxa"/>
        <w:gridCol w:w="5000" w:type="dxa"/>
        <w:gridCol w:w="5000" w:type="dxa"/>
        <w:gridCol w:w="5000" w:type="dxa"/>
      </w:tblGrid>
      <w:tblPr>
        <w:tblW w:w="0" w:type="auto"/>
        <w:tblLayout w:type="autofit"/>
        <w:bidiVisual w:val="0"/>
      </w:tblPr>
      <w:tr>
        <w:trPr/>
        <w:tc>
          <w:tcPr>
            <w:tcW w:w="5000" w:type="pct"/>
            <w:gridSpan w:val="4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  <w:b w:val="1"/>
                <w:bCs w:val="1"/>
              </w:rPr>
              <w:t xml:space="preserve">HOTELES PREVISTOS O SIMILARES</w:t>
            </w:r>
          </w:p>
        </w:tc>
      </w:tr>
      <w:tr>
        <w:trPr/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  <w:b w:val="1"/>
                <w:bCs w:val="1"/>
              </w:rPr>
              <w:t xml:space="preserve">HOTEL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  <w:b w:val="1"/>
                <w:bCs w:val="1"/>
              </w:rPr>
              <w:t xml:space="preserve">CIUDAD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  <w:b w:val="1"/>
                <w:bCs w:val="1"/>
              </w:rPr>
              <w:t xml:space="preserve">TIPO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  <w:b w:val="1"/>
                <w:bCs w:val="1"/>
              </w:rPr>
              <w:t xml:space="preserve">PAÍS</w:t>
            </w:r>
          </w:p>
        </w:tc>
      </w:tr>
      <w:tr>
        <w:trPr/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Park Inn By Radisson / Eka Hotel</w:t>
            </w:r>
            <w:r>
              <w:rPr>
                <w:rFonts w:ascii="Arial" w:hAnsi="Arial" w:eastAsia="Arial" w:cs="Arial"/>
                <w:color w:val="000000"/>
                <w:sz w:val="18"/>
                <w:szCs w:val="18"/>
                <w:b w:val="1"/>
                <w:bCs w:val="1"/>
              </w:rPr>
              <w:t xml:space="preserve"> </w:t>
            </w:r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/ Pride Inn Azure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Nairobi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Primera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Kenya</w:t>
            </w:r>
          </w:p>
        </w:tc>
      </w:tr>
      <w:tr>
        <w:trPr/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Samburu Simba Lodge / Samburu Sopa Lodge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Samburu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Primera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Kenya</w:t>
            </w:r>
          </w:p>
        </w:tc>
      </w:tr>
      <w:tr>
        <w:trPr/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The Ark / Treetops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Aberdares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Primera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Kenya</w:t>
            </w:r>
          </w:p>
        </w:tc>
      </w:tr>
      <w:tr>
        <w:trPr/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Lake Nakuru Lodge / Lake Nakuru Sopa / Lake Naivasha Simba Lodge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Lago Nakuru / Naivasha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Primera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Kenya</w:t>
            </w:r>
          </w:p>
        </w:tc>
      </w:tr>
      <w:tr>
        <w:trPr/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Mara Simba Lodge / Mara Leisure Camp /Mara Sopa Lodge / Pride Inn Mara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Maasai Mara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Primera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Kenya</w:t>
            </w:r>
          </w:p>
        </w:tc>
      </w:tr>
      <w:tr>
        <w:trPr/>
        <w:tc>
          <w:tcPr>
            <w:tcW w:w="5000" w:type="pct"/>
            <w:gridSpan w:val="4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Ésta es la relación de los hoteles utilizados más frecuentemente en este circuito. Reflejada tan sólo a efectos indicativos, pudiendo ser el pasajero alojado en establecimientos similares o alternativos</w:t>
            </w:r>
          </w:p>
        </w:tc>
      </w:tr>
    </w:tbl>
    <w:p>
      <w:pPr>
        <w:jc w:val="start"/>
      </w:pPr>
      <w:r>
        <w:rPr>
          <w:rFonts w:ascii="Arial" w:hAnsi="Arial" w:eastAsia="Arial" w:cs="Arial"/>
          <w:sz w:val="22.5"/>
          <w:szCs w:val="22.5"/>
          <w:b w:val="1"/>
          <w:bCs w:val="1"/>
        </w:rPr>
        <w:t xml:space="preserve">Precios vigentes hasta el 30/04/2026</w:t>
      </w:r>
    </w:p>
    <w:p>
      <w:pPr>
        <w:jc w:val="start"/>
      </w:pPr>
    </w:p>
    <w:p>
      <w:pPr>
        <w:pStyle w:val="Heading4"/>
      </w:pPr>
      <w:r>
        <w:rPr>
          <w:rFonts w:ascii="Arial" w:hAnsi="Arial" w:eastAsia="Arial" w:cs="Arial"/>
          <w:color w:val="2ca1d7"/>
          <w:sz w:val="33"/>
          <w:szCs w:val="33"/>
          <w:b w:val="1"/>
          <w:bCs w:val="1"/>
        </w:rPr>
        <w:t xml:space="preserve">I </w:t>
      </w:r>
      <w:r>
        <w:rPr>
          <w:rFonts w:ascii="Arial" w:hAnsi="Arial" w:eastAsia="Arial" w:cs="Arial"/>
          <w:sz w:val="33"/>
          <w:szCs w:val="33"/>
          <w:b w:val="1"/>
          <w:bCs w:val="1"/>
        </w:rPr>
        <w:t xml:space="preserve">EL VIAJE INCLUYE</w:t>
      </w:r>
    </w:p>
    <w:p>
      <w:pPr>
        <w:jc w:val="start"/>
      </w:pP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  ● Boleto de avión en clase turista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  ● Traslados de aeropuerto tanto de llegada como de salida según el itinerario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  ● Los otros traslados dentro de las ciudades según el itinerario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  ● 1 noche en el hotel de Nairobi en régimen de alojamiento y desayuno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  ● Pensión completa en los Hoteles / Lodges especificados durante el safari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  ● Cena en el restaurante Carnivore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  ● Transporte en LAND CRUISERS 4X4 durante el safari con VENTANA GARANTIZADA (ocupación máxima de 7 pax por vehiculo, uso no exclusivo)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  ● Entradas a los Parques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  ● CONDUCTOR - GUÍA DE HABLA CASTELLANO GARANTIZADO a partir de 2 pasajeros en un safari REGULAR (si hay dos vehículos, el guía se compartirá entre esos vehículos, moviéndose entre ellos durante el safari)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  ● Flying Doctors.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  ● Sombreros de safari + etiquetas para el equipaje.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  ● Agua mineral en vehículos, durante el safari + botellas de aluminio.</w:t>
      </w:r>
    </w:p>
    <w:p>
      <w:pPr>
        <w:jc w:val="start"/>
      </w:pPr>
    </w:p>
    <w:p>
      <w:pPr>
        <w:pStyle w:val="Heading4"/>
      </w:pPr>
      <w:r>
        <w:rPr>
          <w:rFonts w:ascii="Arial" w:hAnsi="Arial" w:eastAsia="Arial" w:cs="Arial"/>
          <w:color w:val="2ca1d7"/>
          <w:sz w:val="33"/>
          <w:szCs w:val="33"/>
          <w:b w:val="1"/>
          <w:bCs w:val="1"/>
        </w:rPr>
        <w:t xml:space="preserve">I </w:t>
      </w:r>
      <w:r>
        <w:rPr>
          <w:rFonts w:ascii="Arial" w:hAnsi="Arial" w:eastAsia="Arial" w:cs="Arial"/>
          <w:sz w:val="33"/>
          <w:szCs w:val="33"/>
          <w:b w:val="1"/>
          <w:bCs w:val="1"/>
        </w:rPr>
        <w:t xml:space="preserve">EL VIAJE NO INCLUYE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  ● Gastos personales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  ● Ningún servicio no especificado como incluido 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  ● Propinas a guías y choferes (se paga directamente en el destino).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  ● Propinas para maleteros, camaristas, meseros, etc.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  ● Gastos extras en los hoteles como llamadas telefónicas, lavandería, etc.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  ● Fee de cámaras en los monumentos 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  ● Visa de Kenia 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  ● Impuestos aéreos por persona.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  ● Suplementos por eventos, ferias o cenas de navidad y año nuevo en los destinos (por favor consultar)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  ● Vacuna contra la fiebre amarilla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  ● Seguro de viajero</w:t>
      </w:r>
    </w:p>
    <w:p>
      <w:pPr>
        <w:jc w:val="start"/>
      </w:pPr>
    </w:p>
    <w:p>
      <w:pPr>
        <w:pStyle w:val="Heading4"/>
      </w:pPr>
      <w:r>
        <w:rPr>
          <w:rFonts w:ascii="Arial" w:hAnsi="Arial" w:eastAsia="Arial" w:cs="Arial"/>
          <w:color w:val="2ca1d7"/>
          <w:sz w:val="33"/>
          <w:szCs w:val="33"/>
          <w:b w:val="1"/>
          <w:bCs w:val="1"/>
        </w:rPr>
        <w:t xml:space="preserve">I </w:t>
      </w:r>
      <w:r>
        <w:rPr>
          <w:rFonts w:ascii="Arial" w:hAnsi="Arial" w:eastAsia="Arial" w:cs="Arial"/>
          <w:sz w:val="33"/>
          <w:szCs w:val="33"/>
          <w:b w:val="1"/>
          <w:bCs w:val="1"/>
        </w:rPr>
        <w:t xml:space="preserve">NOTAS</w:t>
      </w:r>
    </w:p>
    <w:p>
      <w:pPr>
        <w:jc w:val="start"/>
      </w:pPr>
    </w:p>
    <w:p>
      <w:pPr>
        <w:jc w:val="both"/>
      </w:pPr>
    </w:p>
    <w:p>
      <w:pPr>
        <w:jc w:val="both"/>
      </w:pPr>
      <w:r>
        <w:rPr>
          <w:rFonts w:ascii="Arial" w:hAnsi="Arial" w:eastAsia="Arial" w:cs="Arial"/>
          <w:sz w:val="24"/>
          <w:szCs w:val="24"/>
          <w:b w:val="1"/>
          <w:bCs w:val="1"/>
        </w:rPr>
        <w:t xml:space="preserve">POLÍTICAS DE CONTRATACIÓN Y CANCELACIÓN</w:t>
      </w:r>
    </w:p>
    <w:p>
      <w:pPr>
        <w:jc w:val="both"/>
      </w:pPr>
      <w:hyperlink r:id="rId10" w:history="1">
        <w:r>
          <w:rPr/>
          <w:t xml:space="preserve">https://cdn.mtmedia25.com/contratos/contratoadhesion-astromundo-20241002.pdf</w:t>
        </w:r>
      </w:hyperlink>
    </w:p>
    <w:p>
      <w:pPr>
        <w:jc w:val="both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Precios indicados en USD, pagaderos en Moneda Nacional al tipo de cambio del día.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Los precios indicados en este sitio web, son de carácter informativo y deben ser confirmados para realizar su reservación ya que están sujetos a modificaciones sin previo aviso.</w:t>
      </w:r>
    </w:p>
    <w:p>
      <w:pPr>
        <w:jc w:val="start"/>
      </w:pPr>
    </w:p>
    <w:p>
      <w:pPr>
        <w:pStyle w:val="Heading4"/>
      </w:pPr>
      <w:r>
        <w:rPr>
          <w:rFonts w:ascii="Arial" w:hAnsi="Arial" w:eastAsia="Arial" w:cs="Arial"/>
          <w:sz w:val="24"/>
          <w:szCs w:val="24"/>
          <w:b w:val="1"/>
          <w:bCs w:val="1"/>
        </w:rPr>
        <w:t xml:space="preserve">VISA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KENIA:</w:t>
      </w:r>
    </w:p>
    <w:p>
      <w:pPr>
        <w:numPr>
          <w:ilvl w:val="0"/>
          <w:numId w:val="3"/>
        </w:numPr>
      </w:pPr>
      <w:r>
        <w:rPr>
          <w:rFonts w:ascii="Arial" w:hAnsi="Arial" w:eastAsia="Arial" w:cs="Arial"/>
          <w:sz w:val="18"/>
          <w:szCs w:val="18"/>
        </w:rPr>
        <w:t xml:space="preserve">A partir del 1 de enero de 2024 las personas mexicanas deben solicitar una autorización electrónica de viaje, o Electronic Travel Authorisation (eTA), en inglés. Dicha autorización sustituye a la Visa electrónica (e-Visa).Dicha autorización se solicita a través del sitio: </w:t>
      </w:r>
      <w:hyperlink r:id="rId11" w:history="1">
        <w:r>
          <w:rPr/>
          <w:t xml:space="preserve">https://www.etakenya.go.ke/en/</w:t>
        </w:r>
      </w:hyperlink>
      <w:r>
        <w:rPr>
          <w:rFonts w:ascii="Arial" w:hAnsi="Arial" w:eastAsia="Arial" w:cs="Arial"/>
          <w:sz w:val="18"/>
          <w:szCs w:val="18"/>
        </w:rPr>
        <w:t xml:space="preserve">. Al llenar su solicitud, se recomienda no utilizar acentos, la letra ñ (utilizar en su lugar la letra n), ni caracteres especiales.La emisión del permiso es responsabilidad exclusiva de las autoridades migratorias de Kenya y la embajada no interviene en dicho proceso.Su pasaporte deberá tener una vigencia de al menos 6 meses a partir de su entrada a Kenya y deberá contar con al menos una página libre de sellos o visas.</w:t>
      </w:r>
    </w:p>
    <w:sectPr>
      <w:headerReference w:type="default" r:id="rId12"/>
      <w:footerReference w:type="default" r:id="rId13"/>
      <w:pgSz w:orient="portrait" w:w="11905.511811023621703498065471649169921875" w:h="16837.795275590549863409250974655151367187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 type="#_x0000_t75" stroked="f" style="width:455pt; height:41.396078431373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 type="#_x0000_t75" stroked="f" style="width:455pt; height:41.396078431373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12C0E00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6066C45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343B835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viaje.mt/QTOZV" TargetMode="External"/><Relationship Id="rId8" Type="http://schemas.openxmlformats.org/officeDocument/2006/relationships/image" Target="media/section_image1.jpg"/><Relationship Id="rId9" Type="http://schemas.openxmlformats.org/officeDocument/2006/relationships/image" Target="media/section_image2.png"/><Relationship Id="rId10" Type="http://schemas.openxmlformats.org/officeDocument/2006/relationships/hyperlink" Target="https://cdn.mtmedia25.com/contratos/contratoadhesion-astromundo-20241002.pdf" TargetMode="External"/><Relationship Id="rId11" Type="http://schemas.openxmlformats.org/officeDocument/2006/relationships/hyperlink" Target="https://www.etakenya.go.ke/en" TargetMode="External"/><Relationship Id="rId12" Type="http://schemas.openxmlformats.org/officeDocument/2006/relationships/header" Target="header1.xml"/><Relationship Id="rId13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2025-07-08T09:32:47-06:00</dcterms:created>
  <dcterms:modified xsi:type="dcterms:W3CDTF">2025-07-08T09:32:47-06:00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