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Toronto Espectacular</w:t>
      </w:r>
    </w:p>
    <w:p>
      <w:pPr>
        <w:jc w:val="start"/>
      </w:pPr>
      <w:r>
        <w:rPr>
          <w:rFonts w:ascii="Arial" w:hAnsi="Arial" w:eastAsia="Arial" w:cs="Arial"/>
          <w:sz w:val="22.5"/>
          <w:szCs w:val="22.5"/>
          <w:b w:val="1"/>
          <w:bCs w:val="1"/>
        </w:rPr>
        <w:t xml:space="preserve">MT-41576  </w:t>
      </w:r>
      <w:r>
        <w:rPr>
          <w:rFonts w:ascii="Arial" w:hAnsi="Arial" w:eastAsia="Arial" w:cs="Arial"/>
          <w:sz w:val="22.5"/>
          <w:szCs w:val="22.5"/>
        </w:rPr>
        <w:t xml:space="preserve">- Web: </w:t>
      </w:r>
      <w:hyperlink r:id="rId7" w:history="1">
        <w:r>
          <w:rPr>
            <w:color w:val="blue"/>
          </w:rPr>
          <w:t xml:space="preserve">https://viaje.mt/UzKQ9</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TORONTO. CITY TOUR – CITY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y lugar indicado comenzaremos esta visita guiada por Toronto, llegando al icónico Gooderham Building, conocido también como el Flatiron Building por su llamativa forma. Muy cerca de este símbolo arquitectónico se encuentra el Saint Lawrence Market, donde tomare-mos un snack típico canadiense. Continuaremos este tour a pie por Toronto en Saint James Park, donde veremos la fachada de la catedral de Santiago, que destaca por su altísimo campanario. La siguiente parada tendrá lugar ante el Old City Hall, el antiguo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ruta seguirá por Queen Street. Ésta larga avenida nos llevará hasta Graffiti Alley, en la que veremos numerosos murales de arte urbano. Finalmente, tras un recorrido de tres horas, concluiremos este tour por Toronto en Kensington Market, uno de los principales barrios bohemios del centro urbano.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para utilizar el City Pass (Ticket incluído) con la oportunidad de visitar los mayores atractivos de esta ciudad como la Torre CN, Museo Real de Ontario, City Cruises Toronto, Casa Loma y el Zoológico de Toronto. Recuerda realizar tus reservaciones con anticipación desde la app My CityPass.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TORONTO – NIAGARA –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preparamos para una excursión desde Toronto visitando una de las mayores maravillas naturales del mundo: las Cataratas del Niágara. Veremos sus alrededores y su espectaculares caídas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y lugar indicado, nos desplazaremos rumbo al sur hacia la frontera entre Canadá y los Estados Unidos. Durante el trayecto, se tendrán unas vistas inmejorables al lago Ontario.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allí, visitaremos lugares destacados como el mirador del Velo de la Novia o el mirador de Table Rock, desde donde disfrutaremos de una vista panorámica de las Cataratas. Contaremos de tres horas de tiempo libre para explorar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realizaremos un tour panorámico por la pintoresca Niagara Parkway o por Niagara-on-the-Lake, un recorrido que nos llevará a disfrutar de las fascinantes vistas del río Niágara. Además, nos detendremos en diferentes miradores desde donde podréis fotografiar los rápidos del Niágara Whirlpool o el reloj floral.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para cerrar con broche de oro la experiencia, haremos una cata de vinos en la zona. Tras disfrutar de esta degustación emprenderemos el regreso al punto de encuentro en Toronto, donde concluiremos esta excursión de entre 9 y 10 horas de duración en total.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TORONTO. MERCADO DE KENSINGTON Y CHINATOWN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al punto de encuentro y hora acordada para la visita guiada en inglés por el mercado de Kensington y Chinatown donde descubriremos dos de las zonas más alternativas y con más vida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tour adentrándonos en Chinatown, el barrio chino de Toronto. Aquí, disfrutaremos recorriendo sus calles llenas de color y de vida mientras nos empapamos de su ambiente tradicional.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continuaremos con el recorrido en dirección al mercado de Kensington, uno de los lugares más alternativos de la ciudad canadiense. Mientras paseamos por el mercado, mostraremos las mejores tiendas de productos agrícolas, cómics y objetos vintage. Además, nos detendremos en una cafetería local para saborear un delicioso café o té con un aperitivo.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Finalmente, llegaremos hasta el Centro Comercial Dragon City, donde daremos por terminada la visita guiada donde tendremos tiempo libre para realizar compras o degustar de un delicioso platillo.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Resto del día libre para actividades personales. Recomendamos tomar un tour en bicicleta para conocer los puntos más importantes de esta moderna ciudad para conocer su historia y cultura. (Tour no incluído).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CellSpacing w:w="30" w:type="dxa"/>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QPL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$1999</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$1299</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$1299</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$2199</w:t>
            </w:r>
          </w:p>
        </w:tc>
        <w:tc>
          <w:tcPr>
            <w:tcW w:w="5000" w:type="pct"/>
          </w:tcPr>
          <w:p>
            <w:pPr/>
            <w:r>
              <w:rPr>
                <w:rFonts w:ascii="Arial" w:hAnsi="Arial" w:eastAsia="Arial" w:cs="Arial"/>
                <w:color w:val="000000"/>
                <w:sz w:val="18"/>
                <w:szCs w:val="18"/>
              </w:rPr>
              <w:t xml:space="preserve">$1299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día.-Máximo 4 persona por habitación entre adultos y menores.-La tarifa de Menor aplica de 2 - 09 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05 noches de alojamiento en Toronto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9CF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864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F5FE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zKQ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2025-07-10T16:53:31-06:00</dcterms:created>
  <dcterms:modified xsi:type="dcterms:W3CDTF">2025-07-10T16:53:31-06:00</dcterms:modified>
</cp:coreProperties>
</file>

<file path=docProps/custom.xml><?xml version="1.0" encoding="utf-8"?>
<Properties xmlns="http://schemas.openxmlformats.org/officeDocument/2006/custom-properties" xmlns:vt="http://schemas.openxmlformats.org/officeDocument/2006/docPropsVTypes"/>
</file>