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Ilusion</w:t>
      </w:r>
    </w:p>
    <w:p>
      <w:pPr>
        <w:jc w:val="start"/>
      </w:pPr>
      <w:r>
        <w:rPr>
          <w:rFonts w:ascii="Arial" w:hAnsi="Arial" w:eastAsia="Arial" w:cs="Arial"/>
          <w:sz w:val="22.5"/>
          <w:szCs w:val="22.5"/>
          <w:b w:val="1"/>
          <w:bCs w:val="1"/>
        </w:rPr>
        <w:t xml:space="preserve">MT-42675  </w:t>
      </w:r>
      <w:r>
        <w:rPr>
          <w:rFonts w:ascii="Arial" w:hAnsi="Arial" w:eastAsia="Arial" w:cs="Arial"/>
          <w:sz w:val="22.5"/>
          <w:szCs w:val="22.5"/>
        </w:rPr>
        <w:t xml:space="preserve">- Web: </w:t>
      </w:r>
      <w:hyperlink r:id="rId7" w:history="1">
        <w:r>
          <w:rPr>
            <w:color w:val="blue"/>
          </w:rPr>
          <w:t xml:space="preserve">https://viaje.mt/dqb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la Ciudad de México. (Vuelo con conexión)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$1,949</w:t>
            </w:r>
          </w:p>
        </w:tc>
        <w:tc>
          <w:tcPr>
            <w:tcW w:w="5000" w:type="pct"/>
          </w:tcPr>
          <w:p>
            <w:pPr/>
            <w:r>
              <w:rPr>
                <w:rFonts w:ascii="Arial" w:hAnsi="Arial" w:eastAsia="Arial" w:cs="Arial"/>
                <w:color w:val="000000"/>
                <w:sz w:val="18"/>
                <w:szCs w:val="18"/>
              </w:rPr>
              <w:t xml:space="preserve">$2,159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4*</w:t>
            </w:r>
          </w:p>
        </w:tc>
        <w:tc>
          <w:tcPr>
            <w:tcW w:w="5000" w:type="pct"/>
          </w:tcPr>
          <w:p>
            <w:pPr/>
            <w:r>
              <w:rPr>
                <w:rFonts w:ascii="Arial" w:hAnsi="Arial" w:eastAsia="Arial" w:cs="Arial"/>
                <w:color w:val="000000"/>
                <w:sz w:val="18"/>
                <w:szCs w:val="18"/>
              </w:rPr>
              <w:t xml:space="preserve">$1,879</w:t>
            </w:r>
          </w:p>
        </w:tc>
        <w:tc>
          <w:tcPr>
            <w:tcW w:w="5000" w:type="pct"/>
          </w:tcPr>
          <w:p>
            <w:pPr/>
            <w:r>
              <w:rPr>
                <w:rFonts w:ascii="Arial" w:hAnsi="Arial" w:eastAsia="Arial" w:cs="Arial"/>
                <w:color w:val="000000"/>
                <w:sz w:val="18"/>
                <w:szCs w:val="18"/>
              </w:rPr>
              <w:t xml:space="preserve">$1,989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$3,049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5*</w:t>
            </w:r>
          </w:p>
        </w:tc>
        <w:tc>
          <w:tcPr>
            <w:tcW w:w="5000" w:type="pct"/>
          </w:tcPr>
          <w:p>
            <w:pPr/>
            <w:r>
              <w:rPr>
                <w:rFonts w:ascii="Arial" w:hAnsi="Arial" w:eastAsia="Arial" w:cs="Arial"/>
                <w:color w:val="000000"/>
                <w:sz w:val="18"/>
                <w:szCs w:val="18"/>
              </w:rPr>
              <w:t xml:space="preserve">$1,939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$2,289</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cuando la línea aérea tenga un cobro adicional.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F45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DCB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C9DAE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2025-04-17T08:38:27-06:00</dcterms:created>
  <dcterms:modified xsi:type="dcterms:W3CDTF">2025-04-17T08:38:27-06:00</dcterms:modified>
</cp:coreProperties>
</file>

<file path=docProps/custom.xml><?xml version="1.0" encoding="utf-8"?>
<Properties xmlns="http://schemas.openxmlformats.org/officeDocument/2006/custom-properties" xmlns:vt="http://schemas.openxmlformats.org/officeDocument/2006/docPropsVTypes"/>
</file>