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y Hollywood</w:t>
      </w:r>
    </w:p>
    <w:p>
      <w:pPr>
        <w:jc w:val="start"/>
      </w:pPr>
      <w:r>
        <w:rPr>
          <w:rFonts w:ascii="Arial" w:hAnsi="Arial" w:eastAsia="Arial" w:cs="Arial"/>
          <w:sz w:val="22.5"/>
          <w:szCs w:val="22.5"/>
          <w:b w:val="1"/>
          <w:bCs w:val="1"/>
        </w:rPr>
        <w:t xml:space="preserve">MT-42741  </w:t>
      </w:r>
      <w:r>
        <w:rPr>
          <w:rFonts w:ascii="Arial" w:hAnsi="Arial" w:eastAsia="Arial" w:cs="Arial"/>
          <w:sz w:val="22.5"/>
          <w:szCs w:val="22.5"/>
        </w:rPr>
        <w:t xml:space="preserve">- Web: </w:t>
      </w:r>
      <w:hyperlink r:id="rId7" w:history="1">
        <w:r>
          <w:rPr>
            <w:color w:val="blue"/>
          </w:rPr>
          <w:t xml:space="preserve">https://viaje.mt/BXXmu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Studios Hollywood. ¡Prepárate para la mejor experiencia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un día lleno de acción y entretenimiento en un sólo lugar: atracciones y espectáculos emocionantes en el Parque Temático, un verdadero estudio de cine en acción y las mejores tiendas, restaurantes y cines de Los Ángeles en Universal CityWalk®. Universal Studios Hollywood es una experiencia única y muy divertida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Disfrutemos de la ciudad con un city tour con Citysightseeing Hop-On Hop-Off Multilingual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Quieres jugar al baloncesto con Kobe Bryant, cantar con Justin Timberlake o mover tus caderas con Elvis Presley. Ahora puedes visualizar estas experiencias en la atracción Madame Tussauds Hollywood Celebrity Wax mientras te paras junto a estas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junto al mundialmente famoso Teatro Chino TCL, Madame Tussauds Hollywood es el lugar donde puede "conocer" celebridades bajo un mismo techo. Acércate a más de 125 figuras de cera increíblemente realistas del mundo de las celebridades del cine y la televisión sin cuerdas de terciopelo ni barreras entre ellas. Baila con Lady Gaga, camina sobre la luna con Michael Jackson, monta en bicicleta con el amigo extraterrestre favorito de todos, E.T. y mucho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Acércate a Denzel Washington, pasa el rato con Snoop Dogg, baila con Audrey Hepburn, lucha contra Hugh Jackman como Wolverine o haz un ollie con Tony Hawk. Con más de 100 estrellas e íconos, seguramente verá algunos de sus favoritos. Hay muchas oportunidades para tomar fotografías mientras te acercas a las celebridades en esta atracción interactiva de cera de celebridades.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Brothers Studio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tamaño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5-9*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$ 1,009</w:t>
            </w:r>
          </w:p>
        </w:tc>
        <w:tc>
          <w:tcPr>
            <w:tcW w:w="5000" w:type="pct"/>
          </w:tcPr>
          <w:p>
            <w:pPr/>
            <w:r>
              <w:rPr>
                <w:rFonts w:ascii="Arial" w:hAnsi="Arial" w:eastAsia="Arial" w:cs="Arial"/>
                <w:color w:val="000000"/>
                <w:sz w:val="18"/>
                <w:szCs w:val="18"/>
              </w:rPr>
              <w:t xml:space="preserve">$ 1,249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$ 1,069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$ 2,179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04 noches de alojamiento en Los Ángeles</w:t>
      </w:r>
    </w:p>
    <w:p>
      <w:pPr>
        <w:jc w:val="start"/>
      </w:pPr>
      <w:r>
        <w:rPr>
          <w:rFonts w:ascii="Arial" w:hAnsi="Arial" w:eastAsia="Arial" w:cs="Arial"/>
          <w:sz w:val="18"/>
          <w:szCs w:val="18"/>
        </w:rPr>
        <w:t xml:space="preserve">  ● Pase Hop On Hop 01 día desde Los Ángeles</w:t>
      </w:r>
    </w:p>
    <w:p>
      <w:pPr>
        <w:jc w:val="start"/>
      </w:pPr>
      <w:r>
        <w:rPr>
          <w:rFonts w:ascii="Arial" w:hAnsi="Arial" w:eastAsia="Arial" w:cs="Arial"/>
          <w:sz w:val="18"/>
          <w:szCs w:val="18"/>
        </w:rPr>
        <w:t xml:space="preserve">  ● 1 Dia Universal Studios Hollywood</w:t>
      </w:r>
    </w:p>
    <w:p>
      <w:pPr>
        <w:jc w:val="start"/>
      </w:pPr>
      <w:r>
        <w:rPr>
          <w:rFonts w:ascii="Arial" w:hAnsi="Arial" w:eastAsia="Arial" w:cs="Arial"/>
          <w:sz w:val="18"/>
          <w:szCs w:val="18"/>
        </w:rPr>
        <w:t xml:space="preserve">  ● Admisión a Madame Tussauds Hollywood</w:t>
      </w:r>
    </w:p>
    <w:p>
      <w:pPr>
        <w:jc w:val="start"/>
      </w:pPr>
      <w:r>
        <w:rPr>
          <w:rFonts w:ascii="Arial" w:hAnsi="Arial" w:eastAsia="Arial" w:cs="Arial"/>
          <w:sz w:val="18"/>
          <w:szCs w:val="18"/>
        </w:rPr>
        <w:t xml:space="preserve">  ● Warner Brothers Studio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Traslados a las atracciones</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del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FCA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715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68C3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XXm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2025-07-09T16:00:54-06:00</dcterms:created>
  <dcterms:modified xsi:type="dcterms:W3CDTF">2025-07-09T16:00:54-06:00</dcterms:modified>
</cp:coreProperties>
</file>

<file path=docProps/custom.xml><?xml version="1.0" encoding="utf-8"?>
<Properties xmlns="http://schemas.openxmlformats.org/officeDocument/2006/custom-properties" xmlns:vt="http://schemas.openxmlformats.org/officeDocument/2006/docPropsVTypes"/>
</file>