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Costa Rica Express</w:t>
      </w:r>
    </w:p>
    <w:p>
      <w:pPr>
        <w:jc w:val="start"/>
      </w:pPr>
      <w:r>
        <w:rPr>
          <w:rFonts w:ascii="Arial" w:hAnsi="Arial" w:eastAsia="Arial" w:cs="Arial"/>
          <w:sz w:val="22.5"/>
          <w:szCs w:val="22.5"/>
          <w:b w:val="1"/>
          <w:bCs w:val="1"/>
        </w:rPr>
        <w:t xml:space="preserve">MT-50022  </w:t>
      </w:r>
      <w:r>
        <w:rPr>
          <w:rFonts w:ascii="Arial" w:hAnsi="Arial" w:eastAsia="Arial" w:cs="Arial"/>
          <w:sz w:val="22.5"/>
          <w:szCs w:val="22.5"/>
        </w:rPr>
        <w:t xml:space="preserve">- Web: </w:t>
      </w:r>
      <w:hyperlink r:id="rId7" w:history="1">
        <w:r>
          <w:rPr>
            <w:color w:val="blue"/>
          </w:rPr>
          <w:t xml:space="preserve">https://viaje.mt/dwa</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$498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y trasladarles hasta su hotel. Resto del día libre.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 JOSé  -  VIP San Jose City 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Se inicia el tour pasando por su hotel para iniciar el recorrido por el Parque Metropolitano en donde se encuentra el Museo de Arte así inicia una travesía por la capital de San José viviendo una experiencia cultural, durante el recorrido se pueden apreciar importantes atractivos culturales de San José, disfrutando de música típica, donde un guía bilinguuml;e les proporcionará toda la información respectiva y evacuará sus dudas. Haremos caminatas en la Plaza La Cultura, almorzaremos un rico platillo costarricense, Teatro Nacional (vestíbulo), Museo de Oro, Monumento Nacional, Parque Nacional, y Mercado Central donde tendremos un espacio para hacer compras.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El horario de Teatro y Museo para ingreso puede variar según días festivos o actividades especiales.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disfrutar de la ciudad, posibilidad de realizar excursiones opcionales de aventura o ecoturismo. Recomendamos una excursión a Isla Tortuga.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SAN JOSé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vuelo regular con destino final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$ 468</w:t>
            </w:r>
          </w:p>
        </w:tc>
        <w:tc>
          <w:tcPr>
            <w:tcW w:w="5000" w:type="pct"/>
          </w:tcPr>
          <w:p>
            <w:pPr/>
            <w:r>
              <w:rPr>
                <w:rFonts w:ascii="Arial" w:hAnsi="Arial" w:eastAsia="Arial" w:cs="Arial"/>
                <w:color w:val="000000"/>
                <w:sz w:val="18"/>
                <w:szCs w:val="18"/>
              </w:rPr>
              <w:t xml:space="preserve">$ 498</w:t>
            </w:r>
          </w:p>
        </w:tc>
        <w:tc>
          <w:tcPr>
            <w:tcW w:w="5000" w:type="pct"/>
          </w:tcPr>
          <w:p>
            <w:pPr/>
            <w:r>
              <w:rPr>
                <w:rFonts w:ascii="Arial" w:hAnsi="Arial" w:eastAsia="Arial" w:cs="Arial"/>
                <w:color w:val="000000"/>
                <w:sz w:val="18"/>
                <w:szCs w:val="18"/>
              </w:rPr>
              <w:t xml:space="preserve">$ 658</w:t>
            </w:r>
          </w:p>
        </w:tc>
        <w:tc>
          <w:tcPr>
            <w:tcW w:w="5000" w:type="pct"/>
          </w:tcPr>
          <w:p>
            <w:pPr/>
            <w:r>
              <w:rPr>
                <w:rFonts w:ascii="Arial" w:hAnsi="Arial" w:eastAsia="Arial" w:cs="Arial"/>
                <w:color w:val="000000"/>
                <w:sz w:val="18"/>
                <w:szCs w:val="18"/>
              </w:rPr>
              <w:t xml:space="preserve">$ 268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$ 478</w:t>
            </w:r>
          </w:p>
        </w:tc>
        <w:tc>
          <w:tcPr>
            <w:tcW w:w="5000" w:type="pct"/>
          </w:tcPr>
          <w:p>
            <w:pPr/>
            <w:r>
              <w:rPr>
                <w:rFonts w:ascii="Arial" w:hAnsi="Arial" w:eastAsia="Arial" w:cs="Arial"/>
                <w:color w:val="000000"/>
                <w:sz w:val="18"/>
                <w:szCs w:val="18"/>
              </w:rPr>
              <w:t xml:space="preserve">$ 538</w:t>
            </w:r>
          </w:p>
        </w:tc>
        <w:tc>
          <w:tcPr>
            <w:tcW w:w="5000" w:type="pct"/>
          </w:tcPr>
          <w:p>
            <w:pPr/>
            <w:r>
              <w:rPr>
                <w:rFonts w:ascii="Arial" w:hAnsi="Arial" w:eastAsia="Arial" w:cs="Arial"/>
                <w:color w:val="000000"/>
                <w:sz w:val="18"/>
                <w:szCs w:val="18"/>
              </w:rPr>
              <w:t xml:space="preserve">$ 698</w:t>
            </w:r>
          </w:p>
        </w:tc>
        <w:tc>
          <w:tcPr>
            <w:tcW w:w="5000" w:type="pct"/>
          </w:tcPr>
          <w:p>
            <w:pPr/>
            <w:r>
              <w:rPr>
                <w:rFonts w:ascii="Arial" w:hAnsi="Arial" w:eastAsia="Arial" w:cs="Arial"/>
                <w:color w:val="000000"/>
                <w:sz w:val="18"/>
                <w:szCs w:val="18"/>
              </w:rPr>
              <w:t xml:space="preserve">$ 268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$ 598</w:t>
            </w:r>
          </w:p>
        </w:tc>
        <w:tc>
          <w:tcPr>
            <w:tcW w:w="5000" w:type="pct"/>
          </w:tcPr>
          <w:p>
            <w:pPr/>
            <w:r>
              <w:rPr>
                <w:rFonts w:ascii="Arial" w:hAnsi="Arial" w:eastAsia="Arial" w:cs="Arial"/>
                <w:color w:val="000000"/>
                <w:sz w:val="18"/>
                <w:szCs w:val="18"/>
              </w:rPr>
              <w:t xml:space="preserve">$ 668</w:t>
            </w:r>
          </w:p>
        </w:tc>
        <w:tc>
          <w:tcPr>
            <w:tcW w:w="5000" w:type="pct"/>
          </w:tcPr>
          <w:p>
            <w:pPr/>
            <w:r>
              <w:rPr>
                <w:rFonts w:ascii="Arial" w:hAnsi="Arial" w:eastAsia="Arial" w:cs="Arial"/>
                <w:color w:val="000000"/>
                <w:sz w:val="18"/>
                <w:szCs w:val="18"/>
              </w:rPr>
              <w:t xml:space="preserve">$ 988</w:t>
            </w:r>
          </w:p>
        </w:tc>
        <w:tc>
          <w:tcPr>
            <w:tcW w:w="5000" w:type="pct"/>
          </w:tcPr>
          <w:p>
            <w:pPr/>
            <w:r>
              <w:rPr>
                <w:rFonts w:ascii="Arial" w:hAnsi="Arial" w:eastAsia="Arial" w:cs="Arial"/>
                <w:color w:val="000000"/>
                <w:sz w:val="18"/>
                <w:szCs w:val="18"/>
              </w:rPr>
              <w:t xml:space="preserve">$ 268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Suplemento para pasajero viajando solo</w:t>
            </w:r>
          </w:p>
        </w:tc>
        <w:tc>
          <w:tcPr>
            <w:tcW w:w="5000" w:type="pct"/>
          </w:tcPr>
          <w:p>
            <w:pPr/>
            <w:r>
              <w:rPr>
                <w:rFonts w:ascii="Arial" w:hAnsi="Arial" w:eastAsia="Arial" w:cs="Arial"/>
                <w:color w:val="000000"/>
                <w:sz w:val="18"/>
                <w:szCs w:val="18"/>
              </w:rPr>
              <w:t xml:space="preserve">$ 75</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w:t>
      </w:r>
      <w:r>
        <w:rPr>
          <w:rFonts w:ascii="Arial" w:hAnsi="Arial" w:eastAsia="Arial" w:cs="Arial"/>
          <w:color w:val="000000"/>
          <w:sz w:val="18"/>
          <w:szCs w:val="18"/>
        </w:rPr>
        <w:t xml:space="preserve">2024 -  Menores compartiendo habitación con sus padres, no incluye desayuno (sólo se permite 01 menor en base habitación doble). Menores de 3 a 10 antilde;os.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Iraz</w:t>
            </w:r>
            <w:r>
              <w:rPr>
                <w:rFonts w:ascii="Arial" w:hAnsi="Arial" w:eastAsia="Arial" w:cs="Arial"/>
                <w:color w:val="000000"/>
                <w:sz w:val="18"/>
                <w:szCs w:val="18"/>
              </w:rPr>
              <w:t xml:space="preserve">ú Hotel </w:t>
            </w:r>
            <w:r>
              <w:rPr>
                <w:rFonts w:ascii="Arial" w:hAnsi="Arial" w:eastAsia="Arial" w:cs="Arial"/>
                <w:color w:val="000000"/>
                <w:sz w:val="18"/>
                <w:szCs w:val="18"/>
              </w:rPr>
              <w:t xml:space="preserve">amp; Studios</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Radisson 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Gran Costa Rica Curio</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San José – México.</w:t>
      </w:r>
    </w:p>
    <w:p>
      <w:pPr>
        <w:jc w:val="start"/>
      </w:pPr>
      <w:r>
        <w:rPr>
          <w:rFonts w:ascii="Arial" w:hAnsi="Arial" w:eastAsia="Arial" w:cs="Arial"/>
          <w:sz w:val="18"/>
          <w:szCs w:val="18"/>
        </w:rPr>
        <w:t xml:space="preserve">  ● 03 noches de alojamiento en San José en hotel de categoría elegida con desayunos.</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Visita de ciudad.</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Mínimo dos pasajeros viajando juntos.</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CF193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2B39B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611C2CF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wa"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2024-04-27T08:41:35-06:00</dcterms:created>
  <dcterms:modified xsi:type="dcterms:W3CDTF">2024-04-27T08:41:35-06:00</dcterms:modified>
</cp:coreProperties>
</file>

<file path=docProps/custom.xml><?xml version="1.0" encoding="utf-8"?>
<Properties xmlns="http://schemas.openxmlformats.org/officeDocument/2006/custom-properties" xmlns:vt="http://schemas.openxmlformats.org/officeDocument/2006/docPropsVTypes"/>
</file>