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Ciudad y Playa</w:t>
      </w:r>
    </w:p>
    <w:p>
      <w:pPr>
        <w:jc w:val="start"/>
      </w:pPr>
      <w:r>
        <w:rPr>
          <w:rFonts w:ascii="Arial" w:hAnsi="Arial" w:eastAsia="Arial" w:cs="Arial"/>
          <w:sz w:val="22.5"/>
          <w:szCs w:val="22.5"/>
          <w:b w:val="1"/>
          <w:bCs w:val="1"/>
        </w:rPr>
        <w:t xml:space="preserve">MT-50024  </w:t>
      </w:r>
      <w:r>
        <w:rPr>
          <w:rFonts w:ascii="Arial" w:hAnsi="Arial" w:eastAsia="Arial" w:cs="Arial"/>
          <w:sz w:val="22.5"/>
          <w:szCs w:val="22.5"/>
        </w:rPr>
        <w:t xml:space="preserve">- Web: </w:t>
      </w:r>
      <w:hyperlink r:id="rId7" w:history="1">
        <w:r>
          <w:rPr>
            <w:color w:val="blue"/>
          </w:rPr>
          <w:t xml:space="preserve">https://viaje.mt/Ddsa4</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y luego el regreso hacia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Poás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Esta actividad ofrece la opción de un suplemento para visitar ldquo;La Paz Waterfull Gardenrdquo;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persona 82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menor 61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alquiler de cuadriciclos, kayaks, catamarán y por supuesto clases de Surf o simplemente relajarse en 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DíA6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JACO BEACH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20 jun / 01 de ago al 30 de nov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$ 558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05 enero al 30 abril / 20 de junio al 31 de julio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Leona</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04 noches de alojamiento en San Jose en el hotel elegido con desayunos. </w:t>
      </w:r>
    </w:p>
    <w:p>
      <w:pPr>
        <w:jc w:val="start"/>
      </w:pPr>
      <w:r>
        <w:rPr>
          <w:rFonts w:ascii="Arial" w:hAnsi="Arial" w:eastAsia="Arial" w:cs="Arial"/>
          <w:sz w:val="18"/>
          <w:szCs w:val="18"/>
        </w:rPr>
        <w:t xml:space="preserve">  ● 03 noches de alojamiento en Jaco en el hotel elegido con desayunos.</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Excursiones indicadas.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19B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D39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B5C6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sa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2025-07-09T19:15:45-06:00</dcterms:created>
  <dcterms:modified xsi:type="dcterms:W3CDTF">2025-07-09T19:15:45-06:00</dcterms:modified>
</cp:coreProperties>
</file>

<file path=docProps/custom.xml><?xml version="1.0" encoding="utf-8"?>
<Properties xmlns="http://schemas.openxmlformats.org/officeDocument/2006/custom-properties" xmlns:vt="http://schemas.openxmlformats.org/officeDocument/2006/docPropsVTypes"/>
</file>