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Argentina Maravillosa</w:t>
      </w:r>
    </w:p>
    <w:p>
      <w:pPr>
        <w:jc w:val="start"/>
      </w:pPr>
      <w:r>
        <w:rPr>
          <w:rFonts w:ascii="Arial" w:hAnsi="Arial" w:eastAsia="Arial" w:cs="Arial"/>
          <w:sz w:val="22.5"/>
          <w:szCs w:val="22.5"/>
          <w:b w:val="1"/>
          <w:bCs w:val="1"/>
        </w:rPr>
        <w:t xml:space="preserve">MT-52009  </w:t>
      </w:r>
      <w:r>
        <w:rPr>
          <w:rFonts w:ascii="Arial" w:hAnsi="Arial" w:eastAsia="Arial" w:cs="Arial"/>
          <w:sz w:val="22.5"/>
          <w:szCs w:val="22.5"/>
        </w:rPr>
        <w:t xml:space="preserve">- Web: </w:t>
      </w:r>
      <w:hyperlink r:id="rId7" w:history="1">
        <w:r>
          <w:rPr>
            <w:color w:val="blue"/>
          </w:rPr>
          <w:t xml:space="preserve">https://viaje.mt/DFnYK</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$2578 </w:t>
      </w:r>
      <w:r>
        <w:rPr>
          <w:rFonts w:ascii="Arial" w:hAnsi="Arial" w:eastAsia="Arial" w:cs="Arial"/>
          <w:sz w:val="25.5"/>
          <w:szCs w:val="25.5"/>
          <w:vertAlign w:val="superscript"/>
        </w:rPr>
        <w:t xml:space="preserve">USD</w:t>
      </w:r>
      <w:r>
        <w:rPr>
          <w:rFonts w:ascii="Arial" w:hAnsi="Arial" w:eastAsia="Arial" w:cs="Arial"/>
          <w:sz w:val="33"/>
          <w:szCs w:val="33"/>
        </w:rPr>
        <w:t xml:space="preserve"> | DBL + 689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Sao Paulo, Brasil.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Sao Paulo y conexión con el vuelo hacia Iguazú.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San Carlos de Bariloche.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Buenos Aires.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$ 2,528</w:t>
            </w:r>
          </w:p>
        </w:tc>
        <w:tc>
          <w:tcPr>
            <w:tcW w:w="5000" w:type="pct"/>
          </w:tcPr>
          <w:p>
            <w:pPr/>
            <w:r>
              <w:rPr>
                <w:rFonts w:ascii="Arial" w:hAnsi="Arial" w:eastAsia="Arial" w:cs="Arial"/>
                <w:color w:val="000000"/>
                <w:sz w:val="18"/>
                <w:szCs w:val="18"/>
              </w:rPr>
              <w:t xml:space="preserve">$ 2,578</w:t>
            </w:r>
          </w:p>
        </w:tc>
        <w:tc>
          <w:tcPr>
            <w:tcW w:w="5000" w:type="pct"/>
          </w:tcPr>
          <w:p>
            <w:pPr/>
            <w:r>
              <w:rPr>
                <w:rFonts w:ascii="Arial" w:hAnsi="Arial" w:eastAsia="Arial" w:cs="Arial"/>
                <w:color w:val="000000"/>
                <w:sz w:val="18"/>
                <w:szCs w:val="18"/>
              </w:rPr>
              <w:t xml:space="preserve">$ 3,358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$ 2,758</w:t>
            </w:r>
          </w:p>
        </w:tc>
        <w:tc>
          <w:tcPr>
            <w:tcW w:w="5000" w:type="pct"/>
          </w:tcPr>
          <w:p>
            <w:pPr/>
            <w:r>
              <w:rPr>
                <w:rFonts w:ascii="Arial" w:hAnsi="Arial" w:eastAsia="Arial" w:cs="Arial"/>
                <w:color w:val="000000"/>
                <w:sz w:val="18"/>
                <w:szCs w:val="18"/>
              </w:rPr>
              <w:t xml:space="preserve">$ 3,678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$ 3,188</w:t>
            </w:r>
          </w:p>
        </w:tc>
        <w:tc>
          <w:tcPr>
            <w:tcW w:w="5000" w:type="pct"/>
          </w:tcPr>
          <w:p>
            <w:pPr/>
            <w:r>
              <w:rPr>
                <w:rFonts w:ascii="Arial" w:hAnsi="Arial" w:eastAsia="Arial" w:cs="Arial"/>
                <w:color w:val="000000"/>
                <w:sz w:val="18"/>
                <w:szCs w:val="18"/>
              </w:rPr>
              <w:t xml:space="preserve">$ 3,248</w:t>
            </w:r>
          </w:p>
        </w:tc>
        <w:tc>
          <w:tcPr>
            <w:tcW w:w="5000" w:type="pct"/>
          </w:tcPr>
          <w:p>
            <w:pPr/>
            <w:r>
              <w:rPr>
                <w:rFonts w:ascii="Arial" w:hAnsi="Arial" w:eastAsia="Arial" w:cs="Arial"/>
                <w:color w:val="000000"/>
                <w:sz w:val="18"/>
                <w:szCs w:val="18"/>
              </w:rPr>
              <w:t xml:space="preserve">$ 4,658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$ 4,958</w:t>
            </w:r>
          </w:p>
        </w:tc>
        <w:tc>
          <w:tcPr>
            <w:tcW w:w="5000" w:type="pct"/>
          </w:tcPr>
          <w:p>
            <w:pPr/>
            <w:r>
              <w:rPr>
                <w:rFonts w:ascii="Arial" w:hAnsi="Arial" w:eastAsia="Arial" w:cs="Arial"/>
                <w:color w:val="000000"/>
                <w:sz w:val="18"/>
                <w:szCs w:val="18"/>
              </w:rPr>
              <w:t xml:space="preserve">$ 5,058</w:t>
            </w:r>
          </w:p>
        </w:tc>
        <w:tc>
          <w:tcPr>
            <w:tcW w:w="5000" w:type="pct"/>
          </w:tcPr>
          <w:p>
            <w:pPr/>
            <w:r>
              <w:rPr>
                <w:rFonts w:ascii="Arial" w:hAnsi="Arial" w:eastAsia="Arial" w:cs="Arial"/>
                <w:color w:val="000000"/>
                <w:sz w:val="18"/>
                <w:szCs w:val="18"/>
              </w:rPr>
              <w:t xml:space="preserve">$ 8,198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$ 689</w:t>
            </w:r>
          </w:p>
        </w:tc>
      </w:tr>
    </w:tbl>
    <w:p>
      <w:pPr>
        <w:jc w:val="start"/>
      </w:pPr>
      <w:r>
        <w:rPr>
          <w:rFonts w:ascii="Arial" w:hAnsi="Arial" w:eastAsia="Arial" w:cs="Arial"/>
          <w:color w:val="000000"/>
          <w:sz w:val="18"/>
          <w:szCs w:val="18"/>
          <w:b w:val="1"/>
          <w:bCs w:val="1"/>
        </w:rPr>
        <w:t xml:space="preserve">SUPLMENTOS </w:t>
      </w:r>
      <w:r>
        <w:rPr>
          <w:rFonts w:ascii="Arial" w:hAnsi="Arial" w:eastAsia="Arial" w:cs="Arial"/>
          <w:color w:val="000000"/>
          <w:sz w:val="18"/>
          <w:szCs w:val="18"/>
        </w:rPr>
        <w:t xml:space="preserve">Durante el mes de </w:t>
      </w:r>
      <w:r>
        <w:rPr>
          <w:rFonts w:ascii="Arial" w:hAnsi="Arial" w:eastAsia="Arial" w:cs="Arial"/>
          <w:color w:val="000000"/>
          <w:sz w:val="18"/>
          <w:szCs w:val="18"/>
          <w:b w:val="1"/>
          <w:bCs w:val="1"/>
        </w:rPr>
        <w:t xml:space="preserve">Julio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p>
      <w:pPr>
        <w:jc w:val="start"/>
      </w:pPr>
    </w:p>
    <w:p>
      <w:pPr>
        <w:jc w:val="start"/>
      </w:pPr>
      <w:r>
        <w:rPr>
          <w:rFonts w:ascii="Arial" w:hAnsi="Arial" w:eastAsia="Arial" w:cs="Arial"/>
          <w:color w:val="000000"/>
          <w:sz w:val="18"/>
          <w:szCs w:val="18"/>
          <w:b w:val="1"/>
          <w:bCs w:val="1"/>
        </w:rPr>
        <w:t xml:space="preserve">SUPLEMENTO </w:t>
      </w:r>
      <w:r>
        <w:rPr>
          <w:rFonts w:ascii="Arial" w:hAnsi="Arial" w:eastAsia="Arial" w:cs="Arial"/>
          <w:color w:val="000000"/>
          <w:sz w:val="18"/>
          <w:szCs w:val="18"/>
        </w:rPr>
        <w:t xml:space="preserve">Durante el mes de </w:t>
      </w:r>
      <w:r>
        <w:rPr>
          <w:rFonts w:ascii="Arial" w:hAnsi="Arial" w:eastAsia="Arial" w:cs="Arial"/>
          <w:color w:val="000000"/>
          <w:sz w:val="18"/>
          <w:szCs w:val="18"/>
          <w:b w:val="1"/>
          <w:bCs w:val="1"/>
        </w:rPr>
        <w:t xml:space="preserve">Agosto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México con conexión.</w:t>
      </w:r>
    </w:p>
    <w:p>
      <w:pPr>
        <w:jc w:val="start"/>
      </w:pPr>
      <w:r>
        <w:rPr>
          <w:rFonts w:ascii="Arial" w:hAnsi="Arial" w:eastAsia="Arial" w:cs="Arial"/>
          <w:sz w:val="18"/>
          <w:szCs w:val="18"/>
        </w:rPr>
        <w:t xml:space="preserve">  ● Boleto de avión Iguazú – Buenos Aires – Bariloche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persona:3*: ARS 2504*: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FCD9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24728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C27F0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nYK"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2025-07-09T12:01:01-06:00</dcterms:created>
  <dcterms:modified xsi:type="dcterms:W3CDTF">2025-07-09T12:01:01-06:00</dcterms:modified>
</cp:coreProperties>
</file>

<file path=docProps/custom.xml><?xml version="1.0" encoding="utf-8"?>
<Properties xmlns="http://schemas.openxmlformats.org/officeDocument/2006/custom-properties" xmlns:vt="http://schemas.openxmlformats.org/officeDocument/2006/docPropsVTypes"/>
</file>