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Medellín y Panamá</w:t>
      </w:r>
    </w:p>
    <w:p>
      <w:pPr>
        <w:jc w:val="start"/>
      </w:pPr>
      <w:r>
        <w:rPr>
          <w:rFonts w:ascii="Arial" w:hAnsi="Arial" w:eastAsia="Arial" w:cs="Arial"/>
          <w:sz w:val="22.5"/>
          <w:szCs w:val="22.5"/>
          <w:b w:val="1"/>
          <w:bCs w:val="1"/>
        </w:rPr>
        <w:t xml:space="preserve">MT-52094  </w:t>
      </w:r>
      <w:r>
        <w:rPr>
          <w:rFonts w:ascii="Arial" w:hAnsi="Arial" w:eastAsia="Arial" w:cs="Arial"/>
          <w:sz w:val="22.5"/>
          <w:szCs w:val="22.5"/>
        </w:rPr>
        <w:t xml:space="preserve">- Web: </w:t>
      </w:r>
      <w:hyperlink r:id="rId7" w:history="1">
        <w:r>
          <w:rPr>
            <w:color w:val="blue"/>
          </w:rPr>
          <w:t xml:space="preserve">https://viaje.mt/drr</w:t>
        </w:r>
      </w:hyperlink>
    </w:p>
    <w:p>
      <w:pPr>
        <w:jc w:val="start"/>
      </w:pPr>
      <w:r>
        <w:rPr>
          <w:rFonts w:ascii="Arial" w:hAnsi="Arial" w:eastAsia="Arial" w:cs="Arial"/>
          <w:sz w:val="22.5"/>
          <w:szCs w:val="22.5"/>
          <w:b w:val="1"/>
          <w:bCs w:val="1"/>
        </w:rPr>
        <w:t xml:space="preserve">7 días y 6 noches</w:t>
      </w:r>
    </w:p>
    <w:p>
      <w:pPr>
        <w:jc w:val="start"/>
      </w:pPr>
    </w:p>
    <w:p>
      <w:pPr>
        <w:jc w:val="center"/>
        <w:spacing w:before="450"/>
      </w:pPr>
      <w:r>
        <w:rPr>
          <w:rFonts w:ascii="Arial" w:hAnsi="Arial" w:eastAsia="Arial" w:cs="Arial"/>
          <w:sz w:val="33"/>
          <w:szCs w:val="33"/>
        </w:rPr>
        <w:t xml:space="preserve">Desde $778 </w:t>
      </w:r>
      <w:r>
        <w:rPr>
          <w:rFonts w:ascii="Arial" w:hAnsi="Arial" w:eastAsia="Arial" w:cs="Arial"/>
          <w:sz w:val="25.5"/>
          <w:szCs w:val="25.5"/>
          <w:vertAlign w:val="superscript"/>
        </w:rPr>
        <w:t xml:space="preserve">USD</w:t>
      </w:r>
      <w:r>
        <w:rPr>
          <w:rFonts w:ascii="Arial" w:hAnsi="Arial" w:eastAsia="Arial" w:cs="Arial"/>
          <w:sz w:val="33"/>
          <w:szCs w:val="33"/>
        </w:rPr>
        <w:t xml:space="preserve"> | DBL + 380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Salidas Diarias desde CDMX y GDL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Colombia, Panamá.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Medellín, Panamá.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  -  MEDELLíN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en vuelo regular con destino la Ciudad de Medellín, Colombia. Llegada, recepción y traslado al hotel elegido. Alojamiento en Medellín.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MEDELLíN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Comienza el día con el desayuno en el hotel antes de encontrarte en el lobby con tu guía para emprender el recorrido panorámico por los lugares más destacados de Medellín. Iniciando en el conocido barrio El Poblado, epicentro financiero, hotelero y comercial de la ciudad. Luego, ascendiendo al Cerro Nutibara, un mirador natural que alberga una réplica de un típico pueblo antioquentilde;o en su cima. A lo largo del recorrido, podrás apreciar de manera panorámica los espacios pedagógicos y culturales que enriquecen la vida de la ciudad, como el Jardín Botánico, el Parque de los Deseos y el Parque de los Pies Descalzos. Además, visitaremos las 23 esculturas en bronce al aire libre de Fernando Botero en la Plaza Botero, para finalmente, disfrutar de un recorrido en el metrocable de Medellín antes de regresar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MEDELLíN not;not;not; -  GUATAPé Y LA PIEDRA DEL PENtilde;OL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 disfrutar del desayuno en el hotel, traslado al punto de inicio del tour al Municipio de Guatapé y La Piedra del Pentilde;ol, dos de los destinos turísticos más destacados en las cercanías de Medellín. Estos lugares se encuentran a aproximadamente dos horas de la ciudad y son conocidos por su belleza natural y su encantador paisaje campestre. La región atrae tanto a turistas como a residentes locales, quienes quedan cautivados por la combinación de la belleza agrícola y la imponente Piedra del Pentilde;ol, una formación rocosa que se alza a 297 metros sobre una represa que genera una parte significativa de la energía eléctrica del país. Nuestro viaje nos lleva a través del nuevo pueblo de El Pentilde;ol, un punto esencial para comprender la historia y el futuro de esta región. Luego, exploraremos La Piedra del Pentilde;ol, donde disfrutaremos de vistas panorámicas del embalse de Guatapé-Pentilde;ol. Si lo deseas, tendrás la oportunidad de subir los más de 600 escalones que te llevarán a la cima de la piedra (acenso no incluido), brindándote una experiencia aún más impresionante. Continuaremos nuestra travesía con una visita al pintoresco pueblo de Guatapé, conocido por los coloridos zócalos decorativos de sus casas. El almuerzo típicoestá incluido, permitiéndote degustar deliciosa comida local. En el embalse, tendrás la oportunidad de recorrer el destino en una embarcación típica, disfrutar del hermoso paisaje. Finalmente, regresaremos a Medellín al hotel seleccionado.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 incluye: El ascenso a la Piedra del Pentilde;ol tiene un valor adicional que debe ser pagado en el lugar por cada persona. Aproximadamente $5 USD por persona.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MEDELLíN  -  PANAMá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abordar vuelo con destino a Panamá. Llegada, recepción y traslado a su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PANAMá  -  Visita de Ciudad, Canal con Esclusas y tour de compras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coordinada se iniciará con el city tour por la ciudad. La Cinta Costera de la ciudad de Panamá es un sitio para disfrutar el verdor de sus áreas mientras se encuentra dentro de la urbe. El Casco Antiguo fue considerado Patrimonio de la Humanidad. El Casco Antiguo es una mezcla de diferentes estilos arquitectónicos, que reflejan la diversidad cultural del país. Caribentilde;o, republicano, modernismo, francés y colonial se mezclan en un lugar de menos de 800 edificios. La principal catedral (Catedral Metropolitana), el Teatro Nacional de Panamá (fundado en 1908), el monumento de Las Bóvedas, la Iglesia de La Merced, la Iglesia de San Felipe Neri, la Iglesia de San José con su distintivo altar dorado, que fue salvado de Panamá La Vieja y transportado a la nueva ciudad. Canal de Panamá- Esclusas de Miraflores. El Centro de Visitantes de Miraflores es el lugar perfecto para aprender se más sobre la impresionante obra del Canal de Panamá. Conocer su historia, funcionamiento, observar a pocos metros de distancia el tránsito de barcos por el Canal y observar cómo trabajan las esclusas. El corazón del Centro son sus cuatro salas de exhibición. En estas salas se pueden apreciar piezas históricas, módulos interactivos, presentaciones de video, maquetas y modelos mecánicos, y objetos utilizados en las operaciones del Canal de Panamá. Incluye entradas al centro de Visitantes. Compras Albrook Mall o Multiplaza. El centro comercial de Albrook ofrece una gran variedad de tiendas y boutiques, así como de restaurantes. No Incluye Almuerzo.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Visita de Ciudad en servicio regular se ofrece los martes, jueves, sábado y domingo.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DíA6 PANAMá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PANAMá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convenida traslado al aeropuerto para abordar el vuelo regular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p>
      <w:pPr>
        <w:jc w:val="start"/>
      </w:pPr>
      <w:r>
        <w:rPr>
          <w:rFonts w:ascii="Arial" w:hAnsi="Arial" w:eastAsia="Arial" w:cs="Arial"/>
          <w:color w:val="000000"/>
          <w:sz w:val="18"/>
          <w:szCs w:val="18"/>
          <w:b w:val="1"/>
          <w:bCs w:val="1"/>
        </w:rPr>
        <w:t xml:space="preserve">DESDE CDMX</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$ 738</w:t>
            </w:r>
          </w:p>
        </w:tc>
        <w:tc>
          <w:tcPr>
            <w:tcW w:w="5000" w:type="pct"/>
          </w:tcPr>
          <w:p>
            <w:pPr/>
            <w:r>
              <w:rPr>
                <w:rFonts w:ascii="Arial" w:hAnsi="Arial" w:eastAsia="Arial" w:cs="Arial"/>
                <w:color w:val="000000"/>
                <w:sz w:val="18"/>
                <w:szCs w:val="18"/>
              </w:rPr>
              <w:t xml:space="preserve">$ 778</w:t>
            </w:r>
          </w:p>
        </w:tc>
        <w:tc>
          <w:tcPr>
            <w:tcW w:w="5000" w:type="pct"/>
          </w:tcPr>
          <w:p>
            <w:pPr/>
            <w:r>
              <w:rPr>
                <w:rFonts w:ascii="Arial" w:hAnsi="Arial" w:eastAsia="Arial" w:cs="Arial"/>
                <w:color w:val="000000"/>
                <w:sz w:val="18"/>
                <w:szCs w:val="18"/>
              </w:rPr>
              <w:t xml:space="preserve">$ 1,168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$ 968</w:t>
            </w:r>
          </w:p>
        </w:tc>
        <w:tc>
          <w:tcPr>
            <w:tcW w:w="5000" w:type="pct"/>
          </w:tcPr>
          <w:p>
            <w:pPr/>
            <w:r>
              <w:rPr>
                <w:rFonts w:ascii="Arial" w:hAnsi="Arial" w:eastAsia="Arial" w:cs="Arial"/>
                <w:color w:val="000000"/>
                <w:sz w:val="18"/>
                <w:szCs w:val="18"/>
              </w:rPr>
              <w:t xml:space="preserve">$ 1,018</w:t>
            </w:r>
          </w:p>
        </w:tc>
        <w:tc>
          <w:tcPr>
            <w:tcW w:w="5000" w:type="pct"/>
          </w:tcPr>
          <w:p>
            <w:pPr/>
            <w:r>
              <w:rPr>
                <w:rFonts w:ascii="Arial" w:hAnsi="Arial" w:eastAsia="Arial" w:cs="Arial"/>
                <w:color w:val="000000"/>
                <w:sz w:val="18"/>
                <w:szCs w:val="18"/>
              </w:rPr>
              <w:t xml:space="preserve">$ 1,638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$ 998</w:t>
            </w:r>
          </w:p>
        </w:tc>
        <w:tc>
          <w:tcPr>
            <w:tcW w:w="5000" w:type="pct"/>
          </w:tcPr>
          <w:p>
            <w:pPr/>
            <w:r>
              <w:rPr>
                <w:rFonts w:ascii="Arial" w:hAnsi="Arial" w:eastAsia="Arial" w:cs="Arial"/>
                <w:color w:val="000000"/>
                <w:sz w:val="18"/>
                <w:szCs w:val="18"/>
              </w:rPr>
              <w:t xml:space="preserve">$ 1,088</w:t>
            </w:r>
          </w:p>
        </w:tc>
        <w:tc>
          <w:tcPr>
            <w:tcW w:w="5000" w:type="pct"/>
          </w:tcPr>
          <w:p>
            <w:pPr/>
            <w:r>
              <w:rPr>
                <w:rFonts w:ascii="Arial" w:hAnsi="Arial" w:eastAsia="Arial" w:cs="Arial"/>
                <w:color w:val="000000"/>
                <w:sz w:val="18"/>
                <w:szCs w:val="18"/>
              </w:rPr>
              <w:t xml:space="preserve">$ 1,788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N/A</w:t>
            </w:r>
          </w:p>
        </w:tc>
        <w:tc>
          <w:tcPr>
            <w:tcW w:w="5000" w:type="pct"/>
          </w:tcPr>
          <w:p>
            <w:pPr/>
            <w:r>
              <w:rPr>
                <w:rFonts w:ascii="Arial" w:hAnsi="Arial" w:eastAsia="Arial" w:cs="Arial"/>
                <w:color w:val="000000"/>
                <w:sz w:val="18"/>
                <w:szCs w:val="18"/>
              </w:rPr>
              <w:t xml:space="preserve">$1,478</w:t>
            </w:r>
          </w:p>
        </w:tc>
        <w:tc>
          <w:tcPr>
            <w:tcW w:w="5000" w:type="pct"/>
          </w:tcPr>
          <w:p>
            <w:pPr/>
            <w:r>
              <w:rPr>
                <w:rFonts w:ascii="Arial" w:hAnsi="Arial" w:eastAsia="Arial" w:cs="Arial"/>
                <w:color w:val="000000"/>
                <w:sz w:val="18"/>
                <w:szCs w:val="18"/>
              </w:rPr>
              <w:t xml:space="preserve">$2,498</w:t>
            </w:r>
          </w:p>
        </w:tc>
      </w:tr>
    </w:tbl>
    <w:p>
      <w:pPr>
        <w:jc w:val="start"/>
      </w:pPr>
    </w:p>
    <w:p>
      <w:pPr>
        <w:jc w:val="start"/>
      </w:pPr>
      <w:r>
        <w:rPr>
          <w:rFonts w:ascii="Arial" w:hAnsi="Arial" w:eastAsia="Arial" w:cs="Arial"/>
          <w:color w:val="000000"/>
          <w:sz w:val="18"/>
          <w:szCs w:val="18"/>
          <w:b w:val="1"/>
          <w:bCs w:val="1"/>
        </w:rPr>
        <w:t xml:space="preserve">DESDE GUADALAJARA</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$ 778</w:t>
            </w:r>
          </w:p>
        </w:tc>
        <w:tc>
          <w:tcPr>
            <w:tcW w:w="5000" w:type="pct"/>
          </w:tcPr>
          <w:p>
            <w:pPr/>
            <w:r>
              <w:rPr>
                <w:rFonts w:ascii="Arial" w:hAnsi="Arial" w:eastAsia="Arial" w:cs="Arial"/>
                <w:color w:val="000000"/>
                <w:sz w:val="18"/>
                <w:szCs w:val="18"/>
              </w:rPr>
              <w:t xml:space="preserve">$ 798</w:t>
            </w:r>
          </w:p>
        </w:tc>
        <w:tc>
          <w:tcPr>
            <w:tcW w:w="5000" w:type="pct"/>
          </w:tcPr>
          <w:p>
            <w:pPr/>
            <w:r>
              <w:rPr>
                <w:rFonts w:ascii="Arial" w:hAnsi="Arial" w:eastAsia="Arial" w:cs="Arial"/>
                <w:color w:val="000000"/>
                <w:sz w:val="18"/>
                <w:szCs w:val="18"/>
              </w:rPr>
              <w:t xml:space="preserve">$ 1,198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$ 1,018</w:t>
            </w:r>
          </w:p>
        </w:tc>
        <w:tc>
          <w:tcPr>
            <w:tcW w:w="5000" w:type="pct"/>
          </w:tcPr>
          <w:p>
            <w:pPr/>
            <w:r>
              <w:rPr>
                <w:rFonts w:ascii="Arial" w:hAnsi="Arial" w:eastAsia="Arial" w:cs="Arial"/>
                <w:color w:val="000000"/>
                <w:sz w:val="18"/>
                <w:szCs w:val="18"/>
              </w:rPr>
              <w:t xml:space="preserve">$ 1,048</w:t>
            </w:r>
          </w:p>
        </w:tc>
        <w:tc>
          <w:tcPr>
            <w:tcW w:w="5000" w:type="pct"/>
          </w:tcPr>
          <w:p>
            <w:pPr/>
            <w:r>
              <w:rPr>
                <w:rFonts w:ascii="Arial" w:hAnsi="Arial" w:eastAsia="Arial" w:cs="Arial"/>
                <w:color w:val="000000"/>
                <w:sz w:val="18"/>
                <w:szCs w:val="18"/>
              </w:rPr>
              <w:t xml:space="preserve">$ 1,668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$ 1,038</w:t>
            </w:r>
          </w:p>
        </w:tc>
        <w:tc>
          <w:tcPr>
            <w:tcW w:w="5000" w:type="pct"/>
          </w:tcPr>
          <w:p>
            <w:pPr/>
            <w:r>
              <w:rPr>
                <w:rFonts w:ascii="Arial" w:hAnsi="Arial" w:eastAsia="Arial" w:cs="Arial"/>
                <w:color w:val="000000"/>
                <w:sz w:val="18"/>
                <w:szCs w:val="18"/>
              </w:rPr>
              <w:t xml:space="preserve">$ 1,118</w:t>
            </w:r>
          </w:p>
        </w:tc>
        <w:tc>
          <w:tcPr>
            <w:tcW w:w="5000" w:type="pct"/>
          </w:tcPr>
          <w:p>
            <w:pPr/>
            <w:r>
              <w:rPr>
                <w:rFonts w:ascii="Arial" w:hAnsi="Arial" w:eastAsia="Arial" w:cs="Arial"/>
                <w:color w:val="000000"/>
                <w:sz w:val="18"/>
                <w:szCs w:val="18"/>
              </w:rPr>
              <w:t xml:space="preserve">$ 1,818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N/A</w:t>
            </w:r>
          </w:p>
        </w:tc>
        <w:tc>
          <w:tcPr>
            <w:tcW w:w="5000" w:type="pct"/>
          </w:tcPr>
          <w:p>
            <w:pPr/>
            <w:r>
              <w:rPr>
                <w:rFonts w:ascii="Arial" w:hAnsi="Arial" w:eastAsia="Arial" w:cs="Arial"/>
                <w:color w:val="000000"/>
                <w:sz w:val="18"/>
                <w:szCs w:val="18"/>
              </w:rPr>
              <w:t xml:space="preserve">$1,498</w:t>
            </w:r>
          </w:p>
        </w:tc>
        <w:tc>
          <w:tcPr>
            <w:tcW w:w="5000" w:type="pct"/>
          </w:tcPr>
          <w:p>
            <w:pPr/>
            <w:r>
              <w:rPr>
                <w:rFonts w:ascii="Arial" w:hAnsi="Arial" w:eastAsia="Arial" w:cs="Arial"/>
                <w:color w:val="000000"/>
                <w:sz w:val="18"/>
                <w:szCs w:val="18"/>
              </w:rPr>
              <w:t xml:space="preserve">$ 2,538</w:t>
            </w:r>
          </w:p>
        </w:tc>
      </w:tr>
    </w:tbl>
    <w:p>
      <w:pPr>
        <w:jc w:val="start"/>
      </w:pPr>
    </w:p>
    <w:p>
      <w:pPr>
        <w:jc w:val="start"/>
      </w:pPr>
      <w:r>
        <w:rPr>
          <w:rFonts w:ascii="Arial" w:hAnsi="Arial" w:eastAsia="Arial" w:cs="Arial"/>
          <w:color w:val="000000"/>
          <w:sz w:val="18"/>
          <w:szCs w:val="18"/>
          <w:b w:val="1"/>
          <w:bCs w:val="1"/>
        </w:rPr>
        <w:t xml:space="preserve">DESDE MONTERREY</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$ 718</w:t>
            </w:r>
          </w:p>
        </w:tc>
        <w:tc>
          <w:tcPr>
            <w:tcW w:w="5000" w:type="pct"/>
          </w:tcPr>
          <w:p>
            <w:pPr/>
            <w:r>
              <w:rPr>
                <w:rFonts w:ascii="Arial" w:hAnsi="Arial" w:eastAsia="Arial" w:cs="Arial"/>
                <w:color w:val="000000"/>
                <w:sz w:val="18"/>
                <w:szCs w:val="18"/>
              </w:rPr>
              <w:t xml:space="preserve">$ 748</w:t>
            </w:r>
          </w:p>
        </w:tc>
        <w:tc>
          <w:tcPr>
            <w:tcW w:w="5000" w:type="pct"/>
          </w:tcPr>
          <w:p>
            <w:pPr/>
            <w:r>
              <w:rPr>
                <w:rFonts w:ascii="Arial" w:hAnsi="Arial" w:eastAsia="Arial" w:cs="Arial"/>
                <w:color w:val="000000"/>
                <w:sz w:val="18"/>
                <w:szCs w:val="18"/>
              </w:rPr>
              <w:t xml:space="preserve">$ 1,138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$ 948</w:t>
            </w:r>
          </w:p>
        </w:tc>
        <w:tc>
          <w:tcPr>
            <w:tcW w:w="5000" w:type="pct"/>
          </w:tcPr>
          <w:p>
            <w:pPr/>
            <w:r>
              <w:rPr>
                <w:rFonts w:ascii="Arial" w:hAnsi="Arial" w:eastAsia="Arial" w:cs="Arial"/>
                <w:color w:val="000000"/>
                <w:sz w:val="18"/>
                <w:szCs w:val="18"/>
              </w:rPr>
              <w:t xml:space="preserve">$ 988</w:t>
            </w:r>
          </w:p>
        </w:tc>
        <w:tc>
          <w:tcPr>
            <w:tcW w:w="5000" w:type="pct"/>
          </w:tcPr>
          <w:p>
            <w:pPr/>
            <w:r>
              <w:rPr>
                <w:rFonts w:ascii="Arial" w:hAnsi="Arial" w:eastAsia="Arial" w:cs="Arial"/>
                <w:color w:val="000000"/>
                <w:sz w:val="18"/>
                <w:szCs w:val="18"/>
              </w:rPr>
              <w:t xml:space="preserve">$ 1,598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$ 998</w:t>
            </w:r>
          </w:p>
        </w:tc>
        <w:tc>
          <w:tcPr>
            <w:tcW w:w="5000" w:type="pct"/>
          </w:tcPr>
          <w:p>
            <w:pPr/>
            <w:r>
              <w:rPr>
                <w:rFonts w:ascii="Arial" w:hAnsi="Arial" w:eastAsia="Arial" w:cs="Arial"/>
                <w:color w:val="000000"/>
                <w:sz w:val="18"/>
                <w:szCs w:val="18"/>
              </w:rPr>
              <w:t xml:space="preserve">$ 1,058</w:t>
            </w:r>
          </w:p>
        </w:tc>
        <w:tc>
          <w:tcPr>
            <w:tcW w:w="5000" w:type="pct"/>
          </w:tcPr>
          <w:p>
            <w:pPr/>
            <w:r>
              <w:rPr>
                <w:rFonts w:ascii="Arial" w:hAnsi="Arial" w:eastAsia="Arial" w:cs="Arial"/>
                <w:color w:val="000000"/>
                <w:sz w:val="18"/>
                <w:szCs w:val="18"/>
              </w:rPr>
              <w:t xml:space="preserve">$ 1,758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N/A</w:t>
            </w:r>
          </w:p>
        </w:tc>
        <w:tc>
          <w:tcPr>
            <w:tcW w:w="5000" w:type="pct"/>
          </w:tcPr>
          <w:p>
            <w:pPr/>
            <w:r>
              <w:rPr>
                <w:rFonts w:ascii="Arial" w:hAnsi="Arial" w:eastAsia="Arial" w:cs="Arial"/>
                <w:color w:val="000000"/>
                <w:sz w:val="18"/>
                <w:szCs w:val="18"/>
              </w:rPr>
              <w:t xml:space="preserve">$ 1,448</w:t>
            </w:r>
          </w:p>
        </w:tc>
        <w:tc>
          <w:tcPr>
            <w:tcW w:w="5000" w:type="pct"/>
          </w:tcPr>
          <w:p>
            <w:pPr/>
            <w:r>
              <w:rPr>
                <w:rFonts w:ascii="Arial" w:hAnsi="Arial" w:eastAsia="Arial" w:cs="Arial"/>
                <w:color w:val="000000"/>
                <w:sz w:val="18"/>
                <w:szCs w:val="18"/>
              </w:rPr>
              <w:t xml:space="preserve">$ 2,478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 desde CDMX</w:t>
            </w:r>
          </w:p>
        </w:tc>
        <w:tc>
          <w:tcPr>
            <w:tcW w:w="5000" w:type="pct"/>
          </w:tcPr>
          <w:p>
            <w:pPr/>
            <w:r>
              <w:rPr>
                <w:rFonts w:ascii="Arial" w:hAnsi="Arial" w:eastAsia="Arial" w:cs="Arial"/>
                <w:color w:val="000000"/>
                <w:sz w:val="18"/>
                <w:szCs w:val="18"/>
              </w:rPr>
              <w:t xml:space="preserve">$ 380</w:t>
            </w:r>
          </w:p>
        </w:tc>
      </w:tr>
      <w:tr>
        <w:trPr/>
        <w:tc>
          <w:tcPr>
            <w:tcW w:w="5000" w:type="pct"/>
          </w:tcPr>
          <w:p>
            <w:pPr/>
            <w:r>
              <w:rPr>
                <w:rFonts w:ascii="Arial" w:hAnsi="Arial" w:eastAsia="Arial" w:cs="Arial"/>
                <w:color w:val="000000"/>
                <w:sz w:val="18"/>
                <w:szCs w:val="18"/>
              </w:rPr>
              <w:t xml:space="preserve">Impuestos Aéreos desde GDL</w:t>
            </w:r>
          </w:p>
        </w:tc>
        <w:tc>
          <w:tcPr>
            <w:tcW w:w="5000" w:type="pct"/>
          </w:tcPr>
          <w:p>
            <w:pPr/>
            <w:r>
              <w:rPr>
                <w:rFonts w:ascii="Arial" w:hAnsi="Arial" w:eastAsia="Arial" w:cs="Arial"/>
                <w:color w:val="000000"/>
                <w:sz w:val="18"/>
                <w:szCs w:val="18"/>
              </w:rPr>
              <w:t xml:space="preserve">$ 360</w:t>
            </w:r>
          </w:p>
        </w:tc>
      </w:tr>
      <w:tr>
        <w:trPr/>
        <w:tc>
          <w:tcPr>
            <w:tcW w:w="5000" w:type="pct"/>
          </w:tcPr>
          <w:p>
            <w:pPr/>
            <w:r>
              <w:rPr>
                <w:rFonts w:ascii="Arial" w:hAnsi="Arial" w:eastAsia="Arial" w:cs="Arial"/>
                <w:color w:val="000000"/>
                <w:sz w:val="18"/>
                <w:szCs w:val="18"/>
              </w:rPr>
              <w:t xml:space="preserve">Impuestos Aéreos desde MTY</w:t>
            </w:r>
          </w:p>
        </w:tc>
        <w:tc>
          <w:tcPr>
            <w:tcW w:w="5000" w:type="pct"/>
          </w:tcPr>
          <w:p>
            <w:pPr/>
            <w:r>
              <w:rPr>
                <w:rFonts w:ascii="Arial" w:hAnsi="Arial" w:eastAsia="Arial" w:cs="Arial"/>
                <w:color w:val="000000"/>
                <w:sz w:val="18"/>
                <w:szCs w:val="18"/>
              </w:rPr>
              <w:t xml:space="preserve">$ 370</w:t>
            </w:r>
          </w:p>
        </w:tc>
      </w:tr>
    </w:tbl>
    <w:p>
      <w:pPr>
        <w:jc w:val="start"/>
      </w:pPr>
      <w:r>
        <w:rPr>
          <w:rFonts w:ascii="Arial" w:hAnsi="Arial" w:eastAsia="Arial" w:cs="Arial"/>
          <w:color w:val="000000"/>
          <w:sz w:val="18"/>
          <w:szCs w:val="18"/>
        </w:rPr>
        <w:t xml:space="preserve"> -  Precios por persona en dólares -  Precios no aplican en semana santa, pascua, eventos especiales, carnaval, navidad y antilde;o nuevo -  Los precios cambian constantemente, así que te sugerimos la verificación de estos, y no utilizar este documento como definitivo.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Vivre</w:t>
            </w:r>
          </w:p>
        </w:tc>
        <w:tc>
          <w:tcPr>
            <w:tcW w:w="5000" w:type="pct"/>
          </w:tcPr>
          <w:p>
            <w:pPr/>
            <w:r>
              <w:rPr>
                <w:rFonts w:ascii="Arial" w:hAnsi="Arial" w:eastAsia="Arial" w:cs="Arial"/>
                <w:color w:val="000000"/>
                <w:sz w:val="18"/>
                <w:szCs w:val="18"/>
              </w:rPr>
              <w:t xml:space="preserve">Medell</w:t>
            </w:r>
            <w:r>
              <w:rPr>
                <w:rFonts w:ascii="Arial" w:hAnsi="Arial" w:eastAsia="Arial" w:cs="Arial"/>
                <w:color w:val="000000"/>
                <w:sz w:val="18"/>
                <w:szCs w:val="18"/>
              </w:rPr>
              <w:t xml:space="preserve">ín</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The Executive</w:t>
            </w:r>
          </w:p>
        </w:tc>
        <w:tc>
          <w:tcPr>
            <w:tcW w:w="5000" w:type="pct"/>
          </w:tcPr>
          <w:p>
            <w:pPr/>
            <w:r>
              <w:rPr>
                <w:rFonts w:ascii="Arial" w:hAnsi="Arial" w:eastAsia="Arial" w:cs="Arial"/>
                <w:color w:val="000000"/>
                <w:sz w:val="18"/>
                <w:szCs w:val="18"/>
              </w:rPr>
              <w:t xml:space="preserve">Panam</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Panam</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Estelar Blue</w:t>
            </w:r>
          </w:p>
        </w:tc>
        <w:tc>
          <w:tcPr>
            <w:tcW w:w="5000" w:type="pct"/>
          </w:tcPr>
          <w:p>
            <w:pPr/>
            <w:r>
              <w:rPr>
                <w:rFonts w:ascii="Arial" w:hAnsi="Arial" w:eastAsia="Arial" w:cs="Arial"/>
                <w:color w:val="000000"/>
                <w:sz w:val="18"/>
                <w:szCs w:val="18"/>
              </w:rPr>
              <w:t xml:space="preserve">Medell</w:t>
            </w:r>
            <w:r>
              <w:rPr>
                <w:rFonts w:ascii="Arial" w:hAnsi="Arial" w:eastAsia="Arial" w:cs="Arial"/>
                <w:color w:val="000000"/>
                <w:sz w:val="18"/>
                <w:szCs w:val="18"/>
              </w:rPr>
              <w:t xml:space="preserve">ín</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Holiday Inn Panam</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Panam</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Panam</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York Luxury Suites</w:t>
            </w:r>
          </w:p>
        </w:tc>
        <w:tc>
          <w:tcPr>
            <w:tcW w:w="5000" w:type="pct"/>
          </w:tcPr>
          <w:p>
            <w:pPr/>
            <w:r>
              <w:rPr>
                <w:rFonts w:ascii="Arial" w:hAnsi="Arial" w:eastAsia="Arial" w:cs="Arial"/>
                <w:color w:val="000000"/>
                <w:sz w:val="18"/>
                <w:szCs w:val="18"/>
              </w:rPr>
              <w:t xml:space="preserve">Medell</w:t>
            </w:r>
            <w:r>
              <w:rPr>
                <w:rFonts w:ascii="Arial" w:hAnsi="Arial" w:eastAsia="Arial" w:cs="Arial"/>
                <w:color w:val="000000"/>
                <w:sz w:val="18"/>
                <w:szCs w:val="18"/>
              </w:rPr>
              <w:t xml:space="preserve">ín</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RIU Panam</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Panam</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Panam</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El Cielo</w:t>
            </w:r>
          </w:p>
        </w:tc>
        <w:tc>
          <w:tcPr>
            <w:tcW w:w="5000" w:type="pct"/>
          </w:tcPr>
          <w:p>
            <w:pPr/>
            <w:r>
              <w:rPr>
                <w:rFonts w:ascii="Arial" w:hAnsi="Arial" w:eastAsia="Arial" w:cs="Arial"/>
                <w:color w:val="000000"/>
                <w:sz w:val="18"/>
                <w:szCs w:val="18"/>
              </w:rPr>
              <w:t xml:space="preserve">Medell</w:t>
            </w:r>
            <w:r>
              <w:rPr>
                <w:rFonts w:ascii="Arial" w:hAnsi="Arial" w:eastAsia="Arial" w:cs="Arial"/>
                <w:color w:val="000000"/>
                <w:sz w:val="18"/>
                <w:szCs w:val="18"/>
              </w:rPr>
              <w:t xml:space="preserve">ín</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RIU Panam</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Panam</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Panam</w:t>
            </w:r>
            <w:r>
              <w:rPr>
                <w:rFonts w:ascii="Arial" w:hAnsi="Arial" w:eastAsia="Arial" w:cs="Arial"/>
                <w:color w:val="000000"/>
                <w:sz w:val="18"/>
                <w:szCs w:val="18"/>
              </w:rPr>
              <w:t xml:space="preserve">á</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08/12/2024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Panamá – Medellín – Panamá - México</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03 noches de alojamiento en Panamá en el hotel seleccionado</w:t>
      </w:r>
    </w:p>
    <w:p>
      <w:pPr>
        <w:jc w:val="start"/>
      </w:pPr>
      <w:r>
        <w:rPr>
          <w:rFonts w:ascii="Arial" w:hAnsi="Arial" w:eastAsia="Arial" w:cs="Arial"/>
          <w:sz w:val="18"/>
          <w:szCs w:val="18"/>
        </w:rPr>
        <w:t xml:space="preserve">  ● 03 noches de alojamiento en Medellín en el hotel seleccionado </w:t>
      </w:r>
    </w:p>
    <w:p>
      <w:pPr>
        <w:jc w:val="start"/>
      </w:pPr>
      <w:r>
        <w:rPr>
          <w:rFonts w:ascii="Arial" w:hAnsi="Arial" w:eastAsia="Arial" w:cs="Arial"/>
          <w:sz w:val="18"/>
          <w:szCs w:val="18"/>
        </w:rPr>
        <w:t xml:space="preserve">  ● Desayuno diario</w:t>
      </w:r>
    </w:p>
    <w:p>
      <w:pPr>
        <w:jc w:val="start"/>
      </w:pPr>
      <w:r>
        <w:rPr>
          <w:rFonts w:ascii="Arial" w:hAnsi="Arial" w:eastAsia="Arial" w:cs="Arial"/>
          <w:sz w:val="18"/>
          <w:szCs w:val="18"/>
        </w:rPr>
        <w:t xml:space="preserve">  ● Visitas indicadas en el itinerario </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Los pasajeros tendrán derecho a 1 maleta por persona. En caso de exceder el número de maletas y sea necesaria la contratación de un carro adicional, el costo lo asumirá el pasajero.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COLOMBIA</w:t>
      </w:r>
    </w:p>
    <w:p>
      <w:pPr>
        <w:jc w:val="start"/>
      </w:pPr>
      <w:r>
        <w:rPr>
          <w:rFonts w:ascii="Arial" w:hAnsi="Arial" w:eastAsia="Arial" w:cs="Arial"/>
          <w:sz w:val="18"/>
          <w:szCs w:val="18"/>
          <w:b w:val="1"/>
          <w:bCs w:val="1"/>
        </w:rPr>
        <w:t xml:space="preserve">REQUISITOS PARA INGRESAR A COLOMBIA</w:t>
      </w:r>
    </w:p>
    <w:p>
      <w:pPr>
        <w:numPr>
          <w:ilvl w:val="0"/>
          <w:numId w:val="3"/>
        </w:numPr>
      </w:pPr>
      <w:r>
        <w:rPr>
          <w:rFonts w:ascii="Arial" w:hAnsi="Arial" w:eastAsia="Arial" w:cs="Arial"/>
          <w:sz w:val="18"/>
          <w:szCs w:val="18"/>
        </w:rPr>
        <w:t xml:space="preserve">Registrarse en Check-Mig en un plazo de 72 horas y como máximo 2 horas antes de su vuelo a través del siguiente enlace: https://apps.migracioncolombia.gov.co/pre-registro/public/preregistro.jsf Los viajeros reciben un correo electrónico de confirmación que deben presentar a su llegada a Colombia. </w:t>
      </w:r>
    </w:p>
    <w:p>
      <w:pPr>
        <w:numPr>
          <w:ilvl w:val="0"/>
          <w:numId w:val="3"/>
        </w:numPr>
      </w:pPr>
      <w:r>
        <w:rPr>
          <w:rFonts w:ascii="Arial" w:hAnsi="Arial" w:eastAsia="Arial" w:cs="Arial"/>
          <w:sz w:val="18"/>
          <w:szCs w:val="18"/>
        </w:rPr>
        <w:t xml:space="preserve">Uso de mascarilla opcional.</w:t>
      </w:r>
    </w:p>
    <w:p>
      <w:pPr>
        <w:jc w:val="start"/>
      </w:pPr>
      <w:r>
        <w:rPr>
          <w:rFonts w:ascii="Arial" w:hAnsi="Arial" w:eastAsia="Arial" w:cs="Arial"/>
          <w:sz w:val="18"/>
          <w:szCs w:val="18"/>
          <w:b w:val="1"/>
          <w:bCs w:val="1"/>
        </w:rPr>
        <w:t xml:space="preserve">PANAMÁ</w:t>
      </w:r>
    </w:p>
    <w:p>
      <w:pPr>
        <w:jc w:val="start"/>
      </w:pPr>
      <w:r>
        <w:rPr>
          <w:rFonts w:ascii="Arial" w:hAnsi="Arial" w:eastAsia="Arial" w:cs="Arial"/>
          <w:sz w:val="18"/>
          <w:szCs w:val="18"/>
          <w:b w:val="1"/>
          <w:bCs w:val="1"/>
        </w:rPr>
        <w:t xml:space="preserve">REQUISITOS PARA INGRESAR A PANAMÁ</w:t>
      </w:r>
    </w:p>
    <w:p>
      <w:pPr>
        <w:numPr>
          <w:ilvl w:val="0"/>
          <w:numId w:val="4"/>
        </w:numPr>
      </w:pPr>
      <w:r>
        <w:rPr>
          <w:rFonts w:ascii="Arial" w:hAnsi="Arial" w:eastAsia="Arial" w:cs="Arial"/>
          <w:sz w:val="18"/>
          <w:szCs w:val="18"/>
        </w:rPr>
        <w:t xml:space="preserve">Ya no solicita prueba/ ni pase de salud</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FF5B5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CD3EB5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B05F396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00B0A32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rr"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2024-04-27T08:40:09-06:00</dcterms:created>
  <dcterms:modified xsi:type="dcterms:W3CDTF">2024-04-27T08:40:09-06:00</dcterms:modified>
</cp:coreProperties>
</file>

<file path=docProps/custom.xml><?xml version="1.0" encoding="utf-8"?>
<Properties xmlns="http://schemas.openxmlformats.org/officeDocument/2006/custom-properties" xmlns:vt="http://schemas.openxmlformats.org/officeDocument/2006/docPropsVTypes"/>
</file>