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Bogotá y Aventura Caribeña</w:t>
      </w:r>
    </w:p>
    <w:p>
      <w:pPr>
        <w:jc w:val="start"/>
      </w:pPr>
      <w:r>
        <w:rPr>
          <w:rFonts w:ascii="Arial" w:hAnsi="Arial" w:eastAsia="Arial" w:cs="Arial"/>
          <w:sz w:val="22.5"/>
          <w:szCs w:val="22.5"/>
          <w:b w:val="1"/>
          <w:bCs w:val="1"/>
        </w:rPr>
        <w:t xml:space="preserve">MT-52099  </w:t>
      </w:r>
      <w:r>
        <w:rPr>
          <w:rFonts w:ascii="Arial" w:hAnsi="Arial" w:eastAsia="Arial" w:cs="Arial"/>
          <w:sz w:val="22.5"/>
          <w:szCs w:val="22.5"/>
        </w:rPr>
        <w:t xml:space="preserve">- Web: </w:t>
      </w:r>
      <w:hyperlink r:id="rId7" w:history="1">
        <w:r>
          <w:rPr>
            <w:color w:val="blue"/>
          </w:rPr>
          <w:t xml:space="preserve">https://viaje.mt/8lc2x</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$1498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Cartagena, Santa Marta,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Bogotá, Colombia. Llegada, recepción y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Visita de la Ciudad – Museo del 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Zipaquirá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municipio de Zipaquirá, ubicado a 49 Km al norte de Bogotá, dónde se encuentra ubicada la imperdible Catedral de Sal. Durante el trayecto, se podrán observar los paisajes de la Sabana de Bogotá. La Catedral es considerada como uno de los logros arquitectónicos y artísticos más destacados de Colombia, construida al interior una mina a 180 metros de profundidad, en su interior cuenta con un Viacrucis, Cúpula, Coro y Complejo del Nártex. Su importancia radica en el valor patrimonial, cultural y religioso. Adicionalmente, es considerada como la 1° Maravilla turística de Colombia y fue candidata a una de las 7 maravillas del mundo moderno. Regreso a Bogotá.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Cartagena.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Isla Tierra Bomba – Atolon Club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Inicia a las 09:00 a.m. A tu llegada al muelle La Bodeguita a las 08:45 a.m., pasaras a la zona de embarque puerta N. 2. Embarcaremos una lancha rápida por aproximadamente 15 minutos hasta llegar a la Isla Tierra Bomba, Atolón Club Beach cuenta con una de las ubicaciones más privilegiadas cerca a Cartagena. Con playa privada, servicios de spa y piscina. Durante el recorrido se podrá apreciar la Bahía de Cartagena. A la llegada a la Isla, se recibe con un coctel de bienvenida y un recorrido por las instalaciones, durante el día se puede disfrutar de dos zonas de playa y un almuerzo típico. Regreso a la Bahía de Cartagena a las 15:30 aproximadamente.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Traslado Muelle – hotel en Cartagena ni propinas.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SANTA MARTA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terrestre en servicio compartido, para dirigirnos a Santa Marta. (Duración aproximada de 04 horas).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SANTA MARTA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embarcaremos en un enriquecedor city tour cultural por Santa Marta, donde explorarás lo mejor de esta histórica ciudad. Comienza tu recorrido en la Quinta de San Pedro Alejandrino, la emblemática finca colonial que sirvió de refugio a Simón Bolívar en sus últimos días, y admira sus hermosos jardines. Luego, adéntrate en el Museo Arqueológico Tayrona para descubrir la colección de artefactos indígenas que revelan la rica herencia de la civilización Tayrona. Continuarás tu viaje con una visita a la Catedral de Santa Marta, la más antigua de Colombia, donde su elegante arquitectura y su historia te sumergirán en el pasado colonial. Pasea por el Centro Histórico, disfrutando de la arquitectura colonial y las plazas. Finalmente, disfruta de la vista del sector de El Rodadero, famosa por su arena blanca y sus aguas cristalinas, donde podrás descansar y disfrutar de la brisa caribeña.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SANTA MARTA – Tour Parque Tayrona – Playa Cristal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la belleza del Parque Nacional Natural Tayrona con un tour inolvidable a Neguanje y Playa Cristal. Comenzamos nuestra aventura con un cómodo transporte terrestre desde Santa Marta, atravesando paisajes exuberantes y tropicales hasta llegar al sector de Neguanje. Desde allí, abordaremos una lancha que nos llevará por las aguas cristalinas hasta la famosa Playa Cristal, conocida por su arena blanca y sus aguas tranquilas, perfectas para nadar y relajarse. Disfruta de un día completo de sol, mar y naturaleza, rodeado de una impresionante biodiversidad marina y terrestre. ¡Vive una experiencia única en el Caribe colombiano!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Fechas de cierre del parque: 1 al 15 de febrero y 1 al 15 de junio. En temporada alta, los servicios inician 1 hora más temprano. No apto para personas con problemas de rodilla, cadera y corazón.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SANTA MARTA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$ 1,448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$ 2,298</w:t>
            </w:r>
          </w:p>
        </w:tc>
        <w:tc>
          <w:tcPr>
            <w:tcW w:w="5000" w:type="pct"/>
          </w:tcPr>
          <w:p>
            <w:pPr/>
            <w:r>
              <w:rPr>
                <w:rFonts w:ascii="Arial" w:hAnsi="Arial" w:eastAsia="Arial" w:cs="Arial"/>
                <w:color w:val="000000"/>
                <w:sz w:val="18"/>
                <w:szCs w:val="18"/>
              </w:rPr>
              <w:t xml:space="preserve">$ 1,268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$ 1,438</w:t>
            </w:r>
          </w:p>
        </w:tc>
        <w:tc>
          <w:tcPr>
            <w:tcW w:w="5000" w:type="pct"/>
          </w:tcPr>
          <w:p>
            <w:pPr/>
            <w:r>
              <w:rPr>
                <w:rFonts w:ascii="Arial" w:hAnsi="Arial" w:eastAsia="Arial" w:cs="Arial"/>
                <w:color w:val="000000"/>
                <w:sz w:val="18"/>
                <w:szCs w:val="18"/>
              </w:rPr>
              <w:t xml:space="preserve">$ 1,568</w:t>
            </w:r>
          </w:p>
        </w:tc>
        <w:tc>
          <w:tcPr>
            <w:tcW w:w="5000" w:type="pct"/>
          </w:tcPr>
          <w:p>
            <w:pPr/>
            <w:r>
              <w:rPr>
                <w:rFonts w:ascii="Arial" w:hAnsi="Arial" w:eastAsia="Arial" w:cs="Arial"/>
                <w:color w:val="000000"/>
                <w:sz w:val="18"/>
                <w:szCs w:val="18"/>
              </w:rPr>
              <w:t xml:space="preserve">$ 2,328</w:t>
            </w:r>
          </w:p>
        </w:tc>
        <w:tc>
          <w:tcPr>
            <w:tcW w:w="5000" w:type="pct"/>
          </w:tcPr>
          <w:p>
            <w:pPr/>
            <w:r>
              <w:rPr>
                <w:rFonts w:ascii="Arial" w:hAnsi="Arial" w:eastAsia="Arial" w:cs="Arial"/>
                <w:color w:val="000000"/>
                <w:sz w:val="18"/>
                <w:szCs w:val="18"/>
              </w:rPr>
              <w:t xml:space="preserve">$ 1,268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$ 1,698</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$ 2,868</w:t>
            </w:r>
          </w:p>
        </w:tc>
        <w:tc>
          <w:tcPr>
            <w:tcW w:w="5000" w:type="pct"/>
          </w:tcPr>
          <w:p>
            <w:pPr/>
            <w:r>
              <w:rPr>
                <w:rFonts w:ascii="Arial" w:hAnsi="Arial" w:eastAsia="Arial" w:cs="Arial"/>
                <w:color w:val="000000"/>
                <w:sz w:val="18"/>
                <w:szCs w:val="18"/>
              </w:rPr>
              <w:t xml:space="preserve">$ 1,268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$2,388</w:t>
            </w:r>
          </w:p>
        </w:tc>
        <w:tc>
          <w:tcPr>
            <w:tcW w:w="5000" w:type="pct"/>
          </w:tcPr>
          <w:p>
            <w:pPr/>
            <w:r>
              <w:rPr>
                <w:rFonts w:ascii="Arial" w:hAnsi="Arial" w:eastAsia="Arial" w:cs="Arial"/>
                <w:color w:val="000000"/>
                <w:sz w:val="18"/>
                <w:szCs w:val="18"/>
              </w:rPr>
              <w:t xml:space="preserve">$3,888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$ 1,628</w:t>
            </w:r>
          </w:p>
        </w:tc>
        <w:tc>
          <w:tcPr>
            <w:tcW w:w="5000" w:type="pct"/>
          </w:tcPr>
          <w:p>
            <w:pPr/>
            <w:r>
              <w:rPr>
                <w:rFonts w:ascii="Arial" w:hAnsi="Arial" w:eastAsia="Arial" w:cs="Arial"/>
                <w:color w:val="000000"/>
                <w:sz w:val="18"/>
                <w:szCs w:val="18"/>
              </w:rPr>
              <w:t xml:space="preserve">$ 2,538</w:t>
            </w:r>
          </w:p>
        </w:tc>
        <w:tc>
          <w:tcPr>
            <w:tcW w:w="5000" w:type="pct"/>
          </w:tcPr>
          <w:p>
            <w:pPr/>
            <w:r>
              <w:rPr>
                <w:rFonts w:ascii="Arial" w:hAnsi="Arial" w:eastAsia="Arial" w:cs="Arial"/>
                <w:color w:val="000000"/>
                <w:sz w:val="18"/>
                <w:szCs w:val="18"/>
              </w:rPr>
              <w:t xml:space="preserve">$ 1,298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$ 1,538</w:t>
            </w:r>
          </w:p>
        </w:tc>
        <w:tc>
          <w:tcPr>
            <w:tcW w:w="5000" w:type="pct"/>
          </w:tcPr>
          <w:p>
            <w:pPr/>
            <w:r>
              <w:rPr>
                <w:rFonts w:ascii="Arial" w:hAnsi="Arial" w:eastAsia="Arial" w:cs="Arial"/>
                <w:color w:val="000000"/>
                <w:sz w:val="18"/>
                <w:szCs w:val="18"/>
              </w:rPr>
              <w:t xml:space="preserve">$ 1,648</w:t>
            </w:r>
          </w:p>
        </w:tc>
        <w:tc>
          <w:tcPr>
            <w:tcW w:w="5000" w:type="pct"/>
          </w:tcPr>
          <w:p>
            <w:pPr/>
            <w:r>
              <w:rPr>
                <w:rFonts w:ascii="Arial" w:hAnsi="Arial" w:eastAsia="Arial" w:cs="Arial"/>
                <w:color w:val="000000"/>
                <w:sz w:val="18"/>
                <w:szCs w:val="18"/>
              </w:rPr>
              <w:t xml:space="preserve">$ 2,598</w:t>
            </w:r>
          </w:p>
        </w:tc>
        <w:tc>
          <w:tcPr>
            <w:tcW w:w="5000" w:type="pct"/>
          </w:tcPr>
          <w:p>
            <w:pPr/>
            <w:r>
              <w:rPr>
                <w:rFonts w:ascii="Arial" w:hAnsi="Arial" w:eastAsia="Arial" w:cs="Arial"/>
                <w:color w:val="000000"/>
                <w:sz w:val="18"/>
                <w:szCs w:val="18"/>
              </w:rPr>
              <w:t xml:space="preserve">$ 1,298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$ 1,978</w:t>
            </w:r>
          </w:p>
        </w:tc>
        <w:tc>
          <w:tcPr>
            <w:tcW w:w="5000" w:type="pct"/>
          </w:tcPr>
          <w:p>
            <w:pPr/>
            <w:r>
              <w:rPr>
                <w:rFonts w:ascii="Arial" w:hAnsi="Arial" w:eastAsia="Arial" w:cs="Arial"/>
                <w:color w:val="000000"/>
                <w:sz w:val="18"/>
                <w:szCs w:val="18"/>
              </w:rPr>
              <w:t xml:space="preserve">$ 2,248</w:t>
            </w:r>
          </w:p>
        </w:tc>
        <w:tc>
          <w:tcPr>
            <w:tcW w:w="5000" w:type="pct"/>
          </w:tcPr>
          <w:p>
            <w:pPr/>
            <w:r>
              <w:rPr>
                <w:rFonts w:ascii="Arial" w:hAnsi="Arial" w:eastAsia="Arial" w:cs="Arial"/>
                <w:color w:val="000000"/>
                <w:sz w:val="18"/>
                <w:szCs w:val="18"/>
              </w:rPr>
              <w:t xml:space="preserve">$ 3,628</w:t>
            </w:r>
          </w:p>
        </w:tc>
        <w:tc>
          <w:tcPr>
            <w:tcW w:w="5000" w:type="pct"/>
          </w:tcPr>
          <w:p>
            <w:pPr/>
            <w:r>
              <w:rPr>
                <w:rFonts w:ascii="Arial" w:hAnsi="Arial" w:eastAsia="Arial" w:cs="Arial"/>
                <w:color w:val="000000"/>
                <w:sz w:val="18"/>
                <w:szCs w:val="18"/>
              </w:rPr>
              <w:t xml:space="preserve">$ 1,298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$2,638</w:t>
            </w:r>
          </w:p>
        </w:tc>
        <w:tc>
          <w:tcPr>
            <w:tcW w:w="5000" w:type="pct"/>
          </w:tcPr>
          <w:p>
            <w:pPr/>
            <w:r>
              <w:rPr>
                <w:rFonts w:ascii="Arial" w:hAnsi="Arial" w:eastAsia="Arial" w:cs="Arial"/>
                <w:color w:val="000000"/>
                <w:sz w:val="18"/>
                <w:szCs w:val="18"/>
              </w:rPr>
              <w:t xml:space="preserve">$4,348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TEMPORADA ALTA: Semana santa (11 al 20 de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Faranda Express</w:t>
            </w:r>
          </w:p>
        </w:tc>
        <w:tc>
          <w:tcPr>
            <w:tcW w:w="5000" w:type="pct"/>
          </w:tcPr>
          <w:p>
            <w:pPr/>
            <w:r>
              <w:rPr>
                <w:rFonts w:ascii="Arial" w:hAnsi="Arial" w:eastAsia="Arial" w:cs="Arial"/>
                <w:color w:val="000000"/>
                <w:sz w:val="18"/>
                <w:szCs w:val="18"/>
              </w:rPr>
              <w:t xml:space="preserve">Bogota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Holiday Inn Express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Estelar Santamar</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 93</w:t>
            </w:r>
          </w:p>
        </w:tc>
        <w:tc>
          <w:tcPr>
            <w:tcW w:w="5000" w:type="pct"/>
          </w:tcPr>
          <w:p>
            <w:pPr/>
            <w:r>
              <w:rPr>
                <w:rFonts w:ascii="Arial" w:hAnsi="Arial" w:eastAsia="Arial" w:cs="Arial"/>
                <w:color w:val="000000"/>
                <w:sz w:val="18"/>
                <w:szCs w:val="18"/>
              </w:rPr>
              <w:t xml:space="preserve">Bogota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Double Tree By Hilton</w:t>
            </w:r>
          </w:p>
        </w:tc>
        <w:tc>
          <w:tcPr>
            <w:tcW w:w="5000" w:type="pct"/>
          </w:tcPr>
          <w:p>
            <w:pPr/>
            <w:r>
              <w:rPr>
                <w:rFonts w:ascii="Arial" w:hAnsi="Arial" w:eastAsia="Arial" w:cs="Arial"/>
                <w:color w:val="000000"/>
                <w:sz w:val="18"/>
                <w:szCs w:val="18"/>
              </w:rPr>
              <w:t xml:space="preserve">Bogota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Mercurre Emile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Hyatt</w:t>
            </w:r>
          </w:p>
        </w:tc>
        <w:tc>
          <w:tcPr>
            <w:tcW w:w="5000" w:type="pct"/>
          </w:tcPr>
          <w:p>
            <w:pPr/>
            <w:r>
              <w:rPr>
                <w:rFonts w:ascii="Arial" w:hAnsi="Arial" w:eastAsia="Arial" w:cs="Arial"/>
                <w:color w:val="000000"/>
                <w:sz w:val="18"/>
                <w:szCs w:val="18"/>
              </w:rPr>
              <w:t xml:space="preserve">Bogota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Charleston Santa Teresa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Don Pepe Boutique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Bogotá – Cartagena // Santa Marta – México (vía Bogotá o Medellín).</w:t>
      </w:r>
    </w:p>
    <w:p>
      <w:pPr>
        <w:jc w:val="start"/>
      </w:pPr>
      <w:r>
        <w:rPr>
          <w:rFonts w:ascii="Arial" w:hAnsi="Arial" w:eastAsia="Arial" w:cs="Arial"/>
          <w:sz w:val="18"/>
          <w:szCs w:val="18"/>
        </w:rPr>
        <w:t xml:space="preserve">  ● Traslados aeropuerto – hotel – aeropuerto y entre ciudades.</w:t>
      </w:r>
    </w:p>
    <w:p>
      <w:pPr>
        <w:jc w:val="start"/>
      </w:pPr>
      <w:r>
        <w:rPr>
          <w:rFonts w:ascii="Arial" w:hAnsi="Arial" w:eastAsia="Arial" w:cs="Arial"/>
          <w:sz w:val="18"/>
          <w:szCs w:val="18"/>
        </w:rPr>
        <w:t xml:space="preserve">  ● 03 noches de alojamiento en Cartagena en el hotel seleccionado.</w:t>
      </w:r>
    </w:p>
    <w:p>
      <w:pPr>
        <w:jc w:val="start"/>
      </w:pPr>
      <w:r>
        <w:rPr>
          <w:rFonts w:ascii="Arial" w:hAnsi="Arial" w:eastAsia="Arial" w:cs="Arial"/>
          <w:sz w:val="18"/>
          <w:szCs w:val="18"/>
        </w:rPr>
        <w:t xml:space="preserve">  ● 03 noches de alojamiento en Bogotá en el hotel seleccionado.</w:t>
      </w:r>
    </w:p>
    <w:p>
      <w:pPr>
        <w:jc w:val="start"/>
      </w:pPr>
      <w:r>
        <w:rPr>
          <w:rFonts w:ascii="Arial" w:hAnsi="Arial" w:eastAsia="Arial" w:cs="Arial"/>
          <w:sz w:val="18"/>
          <w:szCs w:val="18"/>
        </w:rPr>
        <w:t xml:space="preserve">  ● 03 noches de alojamiento en Santa Marta en el hotel seleccionado.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B2067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B482A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FD441A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8lc2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2025-07-12T07:10:21-06:00</dcterms:created>
  <dcterms:modified xsi:type="dcterms:W3CDTF">2025-07-12T07:10:21-06:00</dcterms:modified>
</cp:coreProperties>
</file>

<file path=docProps/custom.xml><?xml version="1.0" encoding="utf-8"?>
<Properties xmlns="http://schemas.openxmlformats.org/officeDocument/2006/custom-properties" xmlns:vt="http://schemas.openxmlformats.org/officeDocument/2006/docPropsVTypes"/>
</file>