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Vive la Magia del Perú</w:t>
      </w:r>
    </w:p>
    <w:p>
      <w:pPr>
        <w:jc w:val="start"/>
      </w:pPr>
      <w:r>
        <w:rPr>
          <w:rFonts w:ascii="Arial" w:hAnsi="Arial" w:eastAsia="Arial" w:cs="Arial"/>
          <w:sz w:val="22.5"/>
          <w:szCs w:val="22.5"/>
          <w:b w:val="1"/>
          <w:bCs w:val="1"/>
        </w:rPr>
        <w:t xml:space="preserve">MT-52103  </w:t>
      </w:r>
      <w:r>
        <w:rPr>
          <w:rFonts w:ascii="Arial" w:hAnsi="Arial" w:eastAsia="Arial" w:cs="Arial"/>
          <w:sz w:val="22.5"/>
          <w:szCs w:val="22.5"/>
        </w:rPr>
        <w:t xml:space="preserve">- Web: </w:t>
      </w:r>
      <w:hyperlink r:id="rId7" w:history="1">
        <w:r>
          <w:rPr>
            <w:color w:val="blue"/>
          </w:rPr>
          <w:t xml:space="preserve">https://viaje.mt/cxi</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DBL + 499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92.022471910112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13</w:t>
            </w:r>
          </w:p>
          <w:p>
            <w:pPr>
              <w:jc w:val="start"/>
              <w:spacing w:before="0" w:after="0" w:line="24" w:lineRule="auto"/>
            </w:pPr>
          </w:p>
          <w:p>
            <w:pPr>
              <w:jc w:val="start"/>
            </w:pPr>
            <w:r>
              <w:rPr>
                <w:rFonts w:ascii="Arial" w:hAnsi="Arial" w:eastAsia="Arial" w:cs="Arial"/>
                <w:sz w:val="18"/>
                <w:szCs w:val="18"/>
              </w:rPr>
              <w:t xml:space="preserve">Julio:  07</w:t>
            </w:r>
          </w:p>
          <w:p>
            <w:pPr>
              <w:jc w:val="start"/>
              <w:spacing w:before="0" w:after="0" w:line="24" w:lineRule="auto"/>
            </w:pPr>
          </w:p>
          <w:p>
            <w:pPr>
              <w:jc w:val="start"/>
            </w:pPr>
            <w:r>
              <w:rPr>
                <w:rFonts w:ascii="Arial" w:hAnsi="Arial" w:eastAsia="Arial" w:cs="Arial"/>
                <w:sz w:val="18"/>
                <w:szCs w:val="18"/>
              </w:rPr>
              <w:t xml:space="preserve">Agosto:  01,  08,  11,  23,  24,  25,  30,  31</w:t>
            </w:r>
          </w:p>
          <w:p>
            <w:pPr>
              <w:jc w:val="start"/>
              <w:spacing w:before="0" w:after="0" w:line="24" w:lineRule="auto"/>
            </w:pPr>
          </w:p>
          <w:p>
            <w:pPr>
              <w:jc w:val="start"/>
            </w:pPr>
            <w:r>
              <w:rPr>
                <w:rFonts w:ascii="Arial" w:hAnsi="Arial" w:eastAsia="Arial" w:cs="Arial"/>
                <w:sz w:val="18"/>
                <w:szCs w:val="18"/>
              </w:rPr>
              <w:t xml:space="preserve">Septiembre:  01,  05,  07,  08,  20,  21,  22,  26</w:t>
            </w:r>
          </w:p>
          <w:p>
            <w:pPr>
              <w:jc w:val="start"/>
              <w:spacing w:before="0" w:after="0" w:line="24" w:lineRule="auto"/>
            </w:pPr>
          </w:p>
          <w:p>
            <w:pPr>
              <w:jc w:val="start"/>
            </w:pPr>
            <w:r>
              <w:rPr>
                <w:rFonts w:ascii="Arial" w:hAnsi="Arial" w:eastAsia="Arial" w:cs="Arial"/>
                <w:sz w:val="18"/>
                <w:szCs w:val="18"/>
              </w:rPr>
              <w:t xml:space="preserve">Octubre:  17</w:t>
            </w:r>
          </w:p>
          <w:p>
            <w:pPr>
              <w:jc w:val="start"/>
              <w:spacing w:before="0" w:after="0" w:line="24" w:lineRule="auto"/>
            </w:pPr>
          </w:p>
          <w:p>
            <w:pPr>
              <w:jc w:val="start"/>
            </w:pPr>
            <w:r>
              <w:rPr>
                <w:rFonts w:ascii="Arial" w:hAnsi="Arial" w:eastAsia="Arial" w:cs="Arial"/>
                <w:sz w:val="18"/>
                <w:szCs w:val="18"/>
              </w:rPr>
              <w:t xml:space="preserve">Noviembre:  02,  08,  10,  14,  15,  16,  17,  21,  28,  30</w:t>
            </w:r>
          </w:p>
          <w:p>
            <w:pPr>
              <w:jc w:val="start"/>
              <w:spacing w:before="0" w:after="0" w:line="24" w:lineRule="auto"/>
            </w:pPr>
          </w:p>
          <w:p>
            <w:pPr>
              <w:jc w:val="start"/>
            </w:pPr>
            <w:r>
              <w:rPr>
                <w:rFonts w:ascii="Arial" w:hAnsi="Arial" w:eastAsia="Arial" w:cs="Arial"/>
                <w:sz w:val="18"/>
                <w:szCs w:val="18"/>
              </w:rPr>
              <w:t xml:space="preserve">Diciembre:  05,  06,  08,  12,  13,  14,  15</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Valle Sagrado de Los Incas,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3CUSCO  -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Valle Sagrado de los Incas nos recibe este día. Visitaremos Sulca, complejo turístico donde conoceremos y podremos alimentar a camélidos andinos como llamas y alpacas, además, pobladores locales nos mostrarán sus técnicas de tejido y tentilde;ido de textiles tradicionales. Continuaremos a Pisac Inca y Colonial. Descubra uno de los sitios arqueológicos Incas más bellos del Valle Sagrado, en la cima de la montantilde;a que domina el pueblo colonial de Pisac. Recorrido a pie por el pueblo colonial. Tiempo para hacer compras en el mercado de artesanías. Visitaremos el Museo INKARIY, donde el pasajero podrá apreciar las características físicas de cada sociedad, las vestimentas, las artes y otras manifestaciones que son parte de nuestra herencia Cultural. Finalmente visitaremos el Museo Vivo de Yucay, que tiene como misión preservar y valorar las diferentes actividades culturales y agrícolas del Valle Sagrado de los Incas. Conoceremos los centros de interpretación, fabricación de adobes, Chichería Tradicional y folklore. Almuerzo Buffet. Alojamiento en el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VALLE SAGRADO  -  MACHU PICCHU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en Moray, donde la vista es impresionante gracias a colosales terrazas concéntricas simulando un gran anfiteatro. Su utilidad: recrear 20 diferentes tipos de microclimas, medición que aseguraba la producción agrícola del imperio. Luego seguiremos hasta Maras, donde podremos apreciar panorámicamente las famosas y milenarias minas de sal de la época colonial. El contraste de sus pozos blancos con el verde valle es imponente e imperdible para una postal espectacular del Valle Sagrado de los Incas. Almuerzo. Por la tarde, visita al complejo arqueológico de Ollantaytambo, donde se puede ver la técnica con que los incas trabajan la piedra. A continuación, partiremos en tren desde la estación de Ollantaytambo. Arribaremos a la estación de Aguas Calientes, donde nuestro personal nos asistirá para alojarnos en uno de los hoteles de Aguas Calientes. Alojamiento en Aguas Calientes.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Abordaremos el transporte que nos llevara a la cima de la montantilde;a durante el trayecto gozaremos de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7CUSCO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Lima. A la llegada, asistencia y traslado al hotel. Resto del día libre.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LIMA  -  Visita de Ciudad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Hoy pasearemos por las principales calles, plazas y avenidas de la ciudad. Comenzaremos por el Parque del Amor en Miraflores, con una espectacular vista del Océano Pacífico. Luego, tendremos una vista panorámica de la Huaca Pucllana, centro ceremonial de la cultura Lima, y en San Isidro, centro financiero de la ciudad, apreciaremos la Huaca Huallamarca, antiguo adoratorio pre-inca.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 la hora indicada traslado al aeropuerto para tomar vuelo con regreso a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días sábados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 itinerario 2024 con tu agente de viajes*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*Itinerario sujeto a cambios*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$ 989</w:t>
            </w:r>
          </w:p>
        </w:tc>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$ 1349</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$ 989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$ 499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13  Julio: 7  Agosto: 1, 8, 11  Diciembre: 12, 13, 14, 15</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Agosto: 23, 24, 25, 30, 31  Septiembre: 1, 5, 7, 8, 20, 21, 22, 26  Octubre: 17  Noviembre: 2, 8, 10, 14, 15, 16, 17, 21, 28, 30  Diciembre: 5, 6, 8</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Dazzler By Wyndham / Hilton Garden Inn / Innside By Melia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Jose Antonio</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Posadas Del Inca / Taypikala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Primera Sup</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El Mapi Hotel By Inkaterra</w:t>
            </w:r>
          </w:p>
        </w:tc>
        <w:tc>
          <w:tcPr>
            <w:tcW w:w="5000" w:type="pct"/>
          </w:tcPr>
          <w:p>
            <w:pPr/>
            <w:r>
              <w:rPr>
                <w:rFonts w:ascii="Arial" w:hAnsi="Arial" w:eastAsia="Arial" w:cs="Arial"/>
                <w:color w:val="000000"/>
                <w:sz w:val="18"/>
                <w:szCs w:val="18"/>
              </w:rPr>
              <w:t xml:space="preserve">Aguas Calientes</w:t>
            </w:r>
          </w:p>
        </w:tc>
        <w:tc>
          <w:tcPr>
            <w:tcW w:w="5000" w:type="pct"/>
          </w:tcPr>
          <w:p>
            <w:pPr/>
            <w:r>
              <w:rPr>
                <w:rFonts w:ascii="Arial" w:hAnsi="Arial" w:eastAsia="Arial" w:cs="Arial"/>
                <w:color w:val="000000"/>
                <w:sz w:val="18"/>
                <w:szCs w:val="18"/>
              </w:rPr>
              <w:t xml:space="preserve">Primera Sup</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México.</w:t>
      </w:r>
    </w:p>
    <w:p>
      <w:pPr>
        <w:jc w:val="start"/>
      </w:pPr>
      <w:r>
        <w:rPr>
          <w:rFonts w:ascii="Arial" w:hAnsi="Arial" w:eastAsia="Arial" w:cs="Arial"/>
          <w:sz w:val="18"/>
          <w:szCs w:val="18"/>
        </w:rPr>
        <w:t xml:space="preserve">  ● Boleto de avión Lima - Cusco - Lima con Sky Airlines.</w:t>
      </w:r>
    </w:p>
    <w:p>
      <w:pPr>
        <w:jc w:val="start"/>
      </w:pPr>
      <w:r>
        <w:rPr>
          <w:rFonts w:ascii="Arial" w:hAnsi="Arial" w:eastAsia="Arial" w:cs="Arial"/>
          <w:sz w:val="18"/>
          <w:szCs w:val="18"/>
        </w:rPr>
        <w:t xml:space="preserve">  ● 07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idioma español.</w:t>
      </w:r>
    </w:p>
    <w:p>
      <w:pPr>
        <w:jc w:val="start"/>
      </w:pPr>
      <w:r>
        <w:rPr>
          <w:rFonts w:ascii="Arial" w:hAnsi="Arial" w:eastAsia="Arial" w:cs="Arial"/>
          <w:sz w:val="18"/>
          <w:szCs w:val="18"/>
        </w:rPr>
        <w:t xml:space="preserve">  ● Tour a la ciudad de Lima en idioma español con entradas incluidas. </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idioma español.</w:t>
      </w:r>
    </w:p>
    <w:p>
      <w:pPr>
        <w:jc w:val="start"/>
      </w:pPr>
      <w:r>
        <w:rPr>
          <w:rFonts w:ascii="Arial" w:hAnsi="Arial" w:eastAsia="Arial" w:cs="Arial"/>
          <w:sz w:val="18"/>
          <w:szCs w:val="18"/>
        </w:rPr>
        <w:t xml:space="preserve">  ● Tour a la ciudad de Cusco en idioma español con entradas incluidas.</w:t>
      </w:r>
    </w:p>
    <w:p>
      <w:pPr>
        <w:jc w:val="start"/>
      </w:pPr>
      <w:r>
        <w:rPr>
          <w:rFonts w:ascii="Arial" w:hAnsi="Arial" w:eastAsia="Arial" w:cs="Arial"/>
          <w:sz w:val="18"/>
          <w:szCs w:val="18"/>
        </w:rPr>
        <w:t xml:space="preserve">  ● Tour al Valle Sagrado de los Incas en idioma español con entradas. incluidas y almuerzos en Valle Sagrado (no incluye bebidas). </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Vistadome Peru Rail.</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 (Guía local).</w:t>
      </w:r>
    </w:p>
    <w:p>
      <w:pPr>
        <w:jc w:val="start"/>
      </w:pPr>
      <w:r>
        <w:rPr>
          <w:rFonts w:ascii="Arial" w:hAnsi="Arial" w:eastAsia="Arial" w:cs="Arial"/>
          <w:sz w:val="18"/>
          <w:szCs w:val="18"/>
        </w:rPr>
        <w:t xml:space="preserve">  ● 01 almuerzo en restaurante local en Aguas Calientes (no incluye bebidas).</w:t>
      </w:r>
    </w:p>
    <w:p>
      <w:pPr>
        <w:jc w:val="start"/>
      </w:pPr>
      <w:r>
        <w:rPr>
          <w:rFonts w:ascii="Arial" w:hAnsi="Arial" w:eastAsia="Arial" w:cs="Arial"/>
          <w:sz w:val="18"/>
          <w:szCs w:val="18"/>
        </w:rPr>
        <w:t xml:space="preserve">  ● Documentos de viaje se entregarán en formato digital para descargar en su</w:t>
      </w:r>
    </w:p>
    <w:p>
      <w:pPr>
        <w:jc w:val="start"/>
      </w:pPr>
      <w:r>
        <w:rPr>
          <w:rFonts w:ascii="Arial" w:hAnsi="Arial" w:eastAsia="Arial" w:cs="Arial"/>
          <w:sz w:val="18"/>
          <w:szCs w:val="18"/>
        </w:rPr>
        <w:t xml:space="preserve">  ●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marcadas como opcionales.</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TARIFAS</w:t>
      </w:r>
    </w:p>
    <w:p>
      <w:pPr>
        <w:jc w:val="start"/>
      </w:pPr>
      <w:r>
        <w:rPr>
          <w:rFonts w:ascii="Arial" w:hAnsi="Arial" w:eastAsia="Arial" w:cs="Arial"/>
          <w:sz w:val="18"/>
          <w:szCs w:val="18"/>
        </w:rPr>
        <w:t xml:space="preserve">Reservaciones con un anticipo de 400 USD por persona no reembolsables y copia de pasaporte.</w:t>
      </w:r>
    </w:p>
    <w:p>
      <w:pPr>
        <w:jc w:val="start"/>
      </w:pPr>
      <w:r>
        <w:rPr>
          <w:rFonts w:ascii="Arial" w:hAnsi="Arial" w:eastAsia="Arial" w:cs="Arial"/>
          <w:sz w:val="18"/>
          <w:szCs w:val="18"/>
        </w:rPr>
        <w:t xml:space="preserve">Pago total 50 días antes de la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El pasaporte debe tener una vigencia mínima de 06 meses a partir de la fecha en que se termina su viaje internacional.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 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4 horas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PASAJEROS CON CONDICIONES ESPECIALES: </w:t>
      </w:r>
    </w:p>
    <w:p>
      <w:pPr>
        <w:jc w:val="start"/>
      </w:pPr>
      <w:r>
        <w:rPr>
          <w:rFonts w:ascii="Arial" w:hAnsi="Arial" w:eastAsia="Arial" w:cs="Arial"/>
          <w:sz w:val="18"/>
          <w:szCs w:val="18"/>
        </w:rPr>
        <w:t xml:space="preserve">como sillas de ruedas, muletas, rodilleras o algún aditamento para movilidad NO SE RECOMIENDA una salida grupal como estas ya que se deben cumplir horarios para realizar las actividades. En esos casos podemos ofrecerles una salida regular o servicios privados para disfrutar una verdadera experiencia de viaje a su medida.</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 – 19, accidentes, pérdida de equipaje, amparo de bienes y valores, etc.</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Para la estancia en Machu Picchu Pueblo</w:t>
      </w:r>
    </w:p>
    <w:p>
      <w:pPr>
        <w:jc w:val="start"/>
      </w:pPr>
      <w:r>
        <w:rPr>
          <w:rFonts w:ascii="Arial" w:hAnsi="Arial" w:eastAsia="Arial" w:cs="Arial"/>
          <w:sz w:val="18"/>
          <w:szCs w:val="18"/>
        </w:rPr>
        <w:t xml:space="preserve"> sólo estará permitido llevar una backpack como equipaje.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VISITA AL PARQUE ARQUEOLÓGICO USD 55.00</w:t>
      </w:r>
    </w:p>
    <w:p>
      <w:pPr>
        <w:jc w:val="both"/>
      </w:pPr>
      <w:r>
        <w:rPr>
          <w:rFonts w:ascii="Arial" w:hAnsi="Arial" w:eastAsia="Arial" w:cs="Arial"/>
          <w:sz w:val="18"/>
          <w:szCs w:val="18"/>
        </w:rPr>
        <w:t xml:space="preserve">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Nivel de dificultad: Bajo.</w:t>
      </w:r>
    </w:p>
    <w:p>
      <w:pPr>
        <w:jc w:val="both"/>
      </w:pPr>
      <w:r>
        <w:rPr>
          <w:rFonts w:ascii="Arial" w:hAnsi="Arial" w:eastAsia="Arial" w:cs="Arial"/>
          <w:sz w:val="18"/>
          <w:szCs w:val="18"/>
          <w:b w:val="1"/>
          <w:bCs w:val="1"/>
        </w:rPr>
        <w:t xml:space="preserve">EXCURSIÓN CUSCO DE NOCHE USD 90.00</w:t>
      </w:r>
    </w:p>
    <w:p>
      <w:pPr>
        <w:jc w:val="both"/>
      </w:pPr>
      <w:r>
        <w:rPr>
          <w:rFonts w:ascii="Arial" w:hAnsi="Arial" w:eastAsia="Arial" w:cs="Arial"/>
          <w:sz w:val="18"/>
          <w:szCs w:val="18"/>
        </w:rPr>
        <w:t xml:space="preserve">Realizaremos un exclusivo recorrido de la ciudad de noche. Comenzaremos con la visita a la Iglesia y Convento de San Francisco donde apreciaremos las pinturas en óleo más grande de Sudamérica, el coro de la iglesia y las cámaras sepulcrales. Luego nos dirigiremos hacia el mirador del Cristo Blanco para disfrutar de una vista panorámica de la ciudad. Finalizaremos nuestro recorrido con una clase de preparación de nuestra bebida de bandera, el Pisco Sour. Retorno al hotel. Mínimo 02 personas. Nivel de dificultad: Bajo</w:t>
      </w:r>
    </w:p>
    <w:p>
      <w:pPr>
        <w:jc w:val="both"/>
      </w:pPr>
      <w:r>
        <w:rPr>
          <w:rFonts w:ascii="Arial" w:hAnsi="Arial" w:eastAsia="Arial" w:cs="Arial"/>
          <w:sz w:val="18"/>
          <w:szCs w:val="18"/>
          <w:b w:val="1"/>
          <w:bCs w:val="1"/>
        </w:rPr>
        <w:t xml:space="preserve">CORDILLERA ARCOIRIS Y QÉSWACHACA USD 90.00</w:t>
      </w:r>
    </w:p>
    <w:p>
      <w:pPr>
        <w:jc w:val="both"/>
      </w:pPr>
      <w:r>
        <w:rPr>
          <w:rFonts w:ascii="Arial" w:hAnsi="Arial" w:eastAsia="Arial" w:cs="Arial"/>
          <w:sz w:val="18"/>
          <w:szCs w:val="18"/>
        </w:rPr>
        <w:t xml:space="preserve">Muy temprano por la mañana emprenderemos nuestro viaje con destino a la Comunidad de Palccoyo situado al sureste de Cusco. Llegaremos hasta Huallatakunka en donde iniciaremos nuestra caminata. A solo unos metros del inicio podremos observar la primera montaña de una extensa cordillera con colores semejantes al arcoíris, que les dan un ambiente alegre y a la vez místico. Disfrutaremos de unas vistas espectaculares a través de tres miradores, en uno de ellos podremos ver hasta 3 montañas de colores a la vez en otro tendremos una impresionante vista de la montaña Ausagante por un lado y por el otro lado tendremos la Cordillera de Vilcanota frente a nosotros. Al finalizar la caminata retornaremos a la movilidad para dirigirnos al distrito de Queue. Conoceremos Q'eswachaka, el último puente Inca. Este puente colgante que yace sobre el río Apurimac, es único en su género, hecho a mano y renovado año tras año mediante un rito de cuatro días ejecutado por las comunidades del lugar. Tendremos la oportunidad de cruzar esta imponente construcción inca de 28 metros de largo, viviendo la adrenalina al máximo. A la hora prevista, regreso a Cusco. Mínimo 02 personas.Nivel de dificultad: Bajo.</w:t>
      </w:r>
    </w:p>
    <w:p>
      <w:pPr>
        <w:jc w:val="both"/>
      </w:pPr>
      <w:r>
        <w:rPr>
          <w:rFonts w:ascii="Arial" w:hAnsi="Arial" w:eastAsia="Arial" w:cs="Arial"/>
          <w:sz w:val="18"/>
          <w:szCs w:val="18"/>
          <w:b w:val="1"/>
          <w:bCs w:val="1"/>
        </w:rPr>
        <w:t xml:space="preserve">MONTAÑA 7 COLORES - VINICUNCA AUSANGATE USD 95.00</w:t>
      </w:r>
    </w:p>
    <w:p>
      <w:pPr>
        <w:jc w:val="both"/>
      </w:pPr>
      <w:r>
        <w:rPr>
          <w:rFonts w:ascii="Arial" w:hAnsi="Arial" w:eastAsia="Arial" w:cs="Arial"/>
          <w:sz w:val="18"/>
          <w:szCs w:val="18"/>
        </w:rPr>
        <w:t xml:space="preserve">Muy temprano por la mañana emprenderemos nuestro viaje a lo largo del Valle Sur con destino a Phulawasipata, punto de partida de nuestra aventura hacia el Cerro Colorado o Montaña de siete colores, situada a unos 100 Km. al sudeste de la ciudad del Cusco.  Después de disfrutar de nuestro box breakfast,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El pasajero puede solicitar el servicio de caballo incluyendo arriero para recorrido de Montaña de 7 colores con costo adicional de 47.00 usd; el peso límite es hasta 100 Kg. Nivel de dificultad: Alto.</w:t>
      </w:r>
    </w:p>
    <w:p>
      <w:pPr>
        <w:jc w:val="both"/>
      </w:pPr>
      <w:r>
        <w:rPr>
          <w:rFonts w:ascii="Arial" w:hAnsi="Arial" w:eastAsia="Arial" w:cs="Arial"/>
          <w:sz w:val="18"/>
          <w:szCs w:val="18"/>
          <w:b w:val="1"/>
          <w:bCs w:val="1"/>
        </w:rPr>
        <w:t xml:space="preserve">LAGUNA HUMANTAY USD 95.00</w:t>
      </w:r>
    </w:p>
    <w:p>
      <w:pPr>
        <w:jc w:val="both"/>
      </w:pPr>
      <w:r>
        <w:rPr>
          <w:rFonts w:ascii="Arial" w:hAnsi="Arial" w:eastAsia="Arial" w:cs="Arial"/>
          <w:sz w:val="18"/>
          <w:szCs w:val="18"/>
        </w:rPr>
        <w:t xml:space="preserve">Muy temprano por la mañana los recogeremos en su hotel e iniciaremos nuestro viaje en bus hacía nuestra primera parada, el distrito de Mollepata llamado también "la despensa del mundo" por su esplendorosa y variada producción agrícola. Después de un breve descanso, continuaremos hasta Soraypampa en donde daremos inicio a nuestra caminata de ascenso hasta la laguna. A lo largo del camino avistaremos diversos pisos ecológicos y hermosos paisajes. Luego de una hora y media de caminata, a 4,200 m.s.n.m. nos deleitaremos con la impresionante Laguna Humantay que posee colores turquesas y cristalinos que contrastan notablemente con los majestuosos nevados de la zona: Humantay y Salkantay. Luego de disfrutar de la espectacular belleza del lugar, retornaremos a Soraypampa para almorzar y a la hora indicada, regresaremos por el mismo camino hasta Cusco </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8DFA3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3CA66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FC429B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xi"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2024-05-02T11:37:53-06:00</dcterms:created>
  <dcterms:modified xsi:type="dcterms:W3CDTF">2024-05-02T11:37:53-06:00</dcterms:modified>
</cp:coreProperties>
</file>

<file path=docProps/custom.xml><?xml version="1.0" encoding="utf-8"?>
<Properties xmlns="http://schemas.openxmlformats.org/officeDocument/2006/custom-properties" xmlns:vt="http://schemas.openxmlformats.org/officeDocument/2006/docPropsVTypes"/>
</file>