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Río de Janeiro</w:t>
      </w:r>
    </w:p>
    <w:p>
      <w:pPr>
        <w:jc w:val="start"/>
      </w:pPr>
      <w:r>
        <w:rPr>
          <w:rFonts w:ascii="Arial" w:hAnsi="Arial" w:eastAsia="Arial" w:cs="Arial"/>
          <w:sz w:val="22.5"/>
          <w:szCs w:val="22.5"/>
          <w:b w:val="1"/>
          <w:bCs w:val="1"/>
        </w:rPr>
        <w:t xml:space="preserve">MT-52221  </w:t>
      </w:r>
      <w:r>
        <w:rPr>
          <w:rFonts w:ascii="Arial" w:hAnsi="Arial" w:eastAsia="Arial" w:cs="Arial"/>
          <w:sz w:val="22.5"/>
          <w:szCs w:val="22.5"/>
        </w:rPr>
        <w:t xml:space="preserve">- Web: </w:t>
      </w:r>
      <w:hyperlink r:id="rId7" w:history="1">
        <w:r>
          <w:rPr>
            <w:color w:val="blue"/>
          </w:rPr>
          <w:t xml:space="preserve">https://viaje.mt/dfg</w:t>
        </w:r>
      </w:hyperlink>
    </w:p>
    <w:p>
      <w:pPr>
        <w:jc w:val="start"/>
      </w:pPr>
      <w:r>
        <w:rPr>
          <w:rFonts w:ascii="Arial" w:hAnsi="Arial" w:eastAsia="Arial" w:cs="Arial"/>
          <w:sz w:val="22.5"/>
          <w:szCs w:val="22.5"/>
          <w:b w:val="1"/>
          <w:bCs w:val="1"/>
        </w:rPr>
        <w:t xml:space="preserve">7 días y 5 noches</w:t>
      </w:r>
    </w:p>
    <w:p>
      <w:pPr>
        <w:jc w:val="start"/>
      </w:pPr>
    </w:p>
    <w:p>
      <w:pPr>
        <w:jc w:val="center"/>
        <w:spacing w:before="450"/>
      </w:pPr>
      <w:r>
        <w:rPr>
          <w:rFonts w:ascii="Arial" w:hAnsi="Arial" w:eastAsia="Arial" w:cs="Arial"/>
          <w:sz w:val="33"/>
          <w:szCs w:val="33"/>
        </w:rPr>
        <w:t xml:space="preserve">Desde $988 </w:t>
      </w:r>
      <w:r>
        <w:rPr>
          <w:rFonts w:ascii="Arial" w:hAnsi="Arial" w:eastAsia="Arial" w:cs="Arial"/>
          <w:sz w:val="25.5"/>
          <w:szCs w:val="25.5"/>
          <w:vertAlign w:val="superscript"/>
        </w:rPr>
        <w:t xml:space="preserve">USD</w:t>
      </w:r>
      <w:r>
        <w:rPr>
          <w:rFonts w:ascii="Arial" w:hAnsi="Arial" w:eastAsia="Arial" w:cs="Arial"/>
          <w:sz w:val="33"/>
          <w:szCs w:val="33"/>
        </w:rPr>
        <w:t xml:space="preserve"> | DBL + 569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Salidas 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Brasil.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SAO PAULO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Brasil, vía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al aeropuerto de Río de Janeiro, recepción y traslado al hotel. Resto del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un tour a Petrópolis.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un tour a Buzios.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una excursión o actividad cercanas a Río, entre las opciones, puede encontrar Floresta de Tijuca, vuelo en parapente, AquaRío o Museu do Amanhatilde;.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RíO DE JANEIRO  -  SAO PAULO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 vía Sao Paulo.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$ 968</w:t>
            </w:r>
          </w:p>
        </w:tc>
        <w:tc>
          <w:tcPr>
            <w:tcW w:w="5000" w:type="pct"/>
          </w:tcPr>
          <w:p>
            <w:pPr/>
            <w:r>
              <w:rPr>
                <w:rFonts w:ascii="Arial" w:hAnsi="Arial" w:eastAsia="Arial" w:cs="Arial"/>
                <w:color w:val="000000"/>
                <w:sz w:val="18"/>
                <w:szCs w:val="18"/>
              </w:rPr>
              <w:t xml:space="preserve">$ 988</w:t>
            </w:r>
          </w:p>
        </w:tc>
        <w:tc>
          <w:tcPr>
            <w:tcW w:w="5000" w:type="pct"/>
          </w:tcPr>
          <w:p>
            <w:pPr/>
            <w:r>
              <w:rPr>
                <w:rFonts w:ascii="Arial" w:hAnsi="Arial" w:eastAsia="Arial" w:cs="Arial"/>
                <w:color w:val="000000"/>
                <w:sz w:val="18"/>
                <w:szCs w:val="18"/>
              </w:rPr>
              <w:t xml:space="preserve">$ 1,478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$ 1,058</w:t>
            </w:r>
          </w:p>
        </w:tc>
        <w:tc>
          <w:tcPr>
            <w:tcW w:w="5000" w:type="pct"/>
          </w:tcPr>
          <w:p>
            <w:pPr/>
            <w:r>
              <w:rPr>
                <w:rFonts w:ascii="Arial" w:hAnsi="Arial" w:eastAsia="Arial" w:cs="Arial"/>
                <w:color w:val="000000"/>
                <w:sz w:val="18"/>
                <w:szCs w:val="18"/>
              </w:rPr>
              <w:t xml:space="preserve">$ 1,078</w:t>
            </w:r>
          </w:p>
        </w:tc>
        <w:tc>
          <w:tcPr>
            <w:tcW w:w="5000" w:type="pct"/>
          </w:tcPr>
          <w:p>
            <w:pPr/>
            <w:r>
              <w:rPr>
                <w:rFonts w:ascii="Arial" w:hAnsi="Arial" w:eastAsia="Arial" w:cs="Arial"/>
                <w:color w:val="000000"/>
                <w:sz w:val="18"/>
                <w:szCs w:val="18"/>
              </w:rPr>
              <w:t xml:space="preserve">$ 1,628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$ 1,278</w:t>
            </w:r>
          </w:p>
        </w:tc>
        <w:tc>
          <w:tcPr>
            <w:tcW w:w="5000" w:type="pct"/>
          </w:tcPr>
          <w:p>
            <w:pPr/>
            <w:r>
              <w:rPr>
                <w:rFonts w:ascii="Arial" w:hAnsi="Arial" w:eastAsia="Arial" w:cs="Arial"/>
                <w:color w:val="000000"/>
                <w:sz w:val="18"/>
                <w:szCs w:val="18"/>
              </w:rPr>
              <w:t xml:space="preserve">$ 1,298</w:t>
            </w:r>
          </w:p>
        </w:tc>
        <w:tc>
          <w:tcPr>
            <w:tcW w:w="5000" w:type="pct"/>
          </w:tcPr>
          <w:p>
            <w:pPr/>
            <w:r>
              <w:rPr>
                <w:rFonts w:ascii="Arial" w:hAnsi="Arial" w:eastAsia="Arial" w:cs="Arial"/>
                <w:color w:val="000000"/>
                <w:sz w:val="18"/>
                <w:szCs w:val="18"/>
              </w:rPr>
              <w:t xml:space="preserve">$ 1,998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$ 569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Río de Janeiro – México</w:t>
      </w:r>
    </w:p>
    <w:p>
      <w:pPr>
        <w:jc w:val="start"/>
      </w:pPr>
      <w:r>
        <w:rPr>
          <w:rFonts w:ascii="Arial" w:hAnsi="Arial" w:eastAsia="Arial" w:cs="Arial"/>
          <w:sz w:val="18"/>
          <w:szCs w:val="18"/>
        </w:rPr>
        <w:t xml:space="preserve">  ● 05 noches en Río de Janeiro en hotel de categoría elegida.</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Excursión al Corcovado y Pan de Azúcar con almuerzo.</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Bebidas en los alimentos.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6972F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12A27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A8690E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1D3353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fg"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2024-05-01T04:42:33-06:00</dcterms:created>
  <dcterms:modified xsi:type="dcterms:W3CDTF">2024-05-01T04:42:33-06:00</dcterms:modified>
</cp:coreProperties>
</file>

<file path=docProps/custom.xml><?xml version="1.0" encoding="utf-8"?>
<Properties xmlns="http://schemas.openxmlformats.org/officeDocument/2006/custom-properties" xmlns:vt="http://schemas.openxmlformats.org/officeDocument/2006/docPropsVTypes"/>
</file>