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 Selva y Cataratas</w:t>
      </w:r>
    </w:p>
    <w:p>
      <w:pPr>
        <w:jc w:val="start"/>
      </w:pPr>
      <w:r>
        <w:rPr>
          <w:rFonts w:ascii="Arial" w:hAnsi="Arial" w:eastAsia="Arial" w:cs="Arial"/>
          <w:sz w:val="22.5"/>
          <w:szCs w:val="22.5"/>
          <w:b w:val="1"/>
          <w:bCs w:val="1"/>
        </w:rPr>
        <w:t xml:space="preserve">MT-52224  </w:t>
      </w:r>
      <w:r>
        <w:rPr>
          <w:rFonts w:ascii="Arial" w:hAnsi="Arial" w:eastAsia="Arial" w:cs="Arial"/>
          <w:sz w:val="22.5"/>
          <w:szCs w:val="22.5"/>
        </w:rPr>
        <w:t xml:space="preserve">- Web: </w:t>
      </w:r>
      <w:hyperlink r:id="rId7" w:history="1">
        <w:r>
          <w:rPr>
            <w:color w:val="blue"/>
          </w:rPr>
          <w:t xml:space="preserve">https://viaje.mt/FxrAj</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$3458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Iguazú, Río de Janeiro, Manaos, Selva Amazonica.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Manaus,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Manaus,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MANAUS  -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trasladaremos hacia el evoluccedil;atilde;o ecolodge. En el camino hacia el lodge localizado en la selva amazónica conoceremos el fenómeno del Encuentro de las Aguas, almuerzo en un restaurante flotante y continuamos para el lodge. Por la tarde realizaremos un pequentilde;o recorrido en canoa por el Igapós (bosque inundado anualmente) y pequentilde;os arroyos para ver la vida en las llanuras aluviales con la posibilidad de ver monos y perezosos. A última hora de la tarde, pesca de pirantilde;as y observación de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riberentilde;as y conocer sus costumbres y tradiciones. Este grupo de personas suele vivir de la plantación de yuca y preparar la famosa harina de mandioca. Se les llama quot;caboclosquot; (mezcla entre indios blanco y amazónicos). La historia de la población amazónica y el ciclo del caucho es explicado. Almuerzo al medio día y luego de un tiempo para descansar. Visita a la Comunidad de Acajatuba donde vive la población local de la siembra de mandioca, pesca, frutas de la región como tucumatilde;, cupuaccedil;u, accedil;aí, caucho y nueces de Brasil. 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pequentilde;as en el agua y los árboles.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AMAZON LODGE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mantilde;ana libre para nadar, relajarse o disfrutar de las instalaciones del lodge. A la hora indica traslado hacia Manaus.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MANAUS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con conexión.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$ 3,388</w:t>
            </w:r>
          </w:p>
        </w:tc>
        <w:tc>
          <w:tcPr>
            <w:tcW w:w="5000" w:type="pct"/>
          </w:tcPr>
          <w:p>
            <w:pPr/>
            <w:r>
              <w:rPr>
                <w:rFonts w:ascii="Arial" w:hAnsi="Arial" w:eastAsia="Arial" w:cs="Arial"/>
                <w:color w:val="000000"/>
                <w:sz w:val="18"/>
                <w:szCs w:val="18"/>
              </w:rPr>
              <w:t xml:space="preserve">$ 3,458</w:t>
            </w:r>
          </w:p>
        </w:tc>
        <w:tc>
          <w:tcPr>
            <w:tcW w:w="5000" w:type="pct"/>
          </w:tcPr>
          <w:p>
            <w:pPr/>
            <w:r>
              <w:rPr>
                <w:rFonts w:ascii="Arial" w:hAnsi="Arial" w:eastAsia="Arial" w:cs="Arial"/>
                <w:color w:val="000000"/>
                <w:sz w:val="18"/>
                <w:szCs w:val="18"/>
              </w:rPr>
              <w:t xml:space="preserve">$ 4,448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$ 4,748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$ 5,058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SAINT PAUL</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ADRIAN</w:t>
            </w:r>
            <w:r>
              <w:rPr>
                <w:rFonts w:ascii="Arial" w:hAnsi="Arial" w:eastAsia="Arial" w:cs="Arial"/>
                <w:color w:val="000000"/>
                <w:sz w:val="18"/>
                <w:szCs w:val="18"/>
              </w:rPr>
              <w:t xml:space="preserve">óPOLIS</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TRYP BY WINDHAM</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Manaus – Brasilia – Río de Janeiro – Iguazú – Sao Paulo –México.</w:t>
      </w:r>
    </w:p>
    <w:p>
      <w:pPr>
        <w:jc w:val="start"/>
      </w:pPr>
      <w:r>
        <w:rPr>
          <w:rFonts w:ascii="Arial" w:hAnsi="Arial" w:eastAsia="Arial" w:cs="Arial"/>
          <w:sz w:val="18"/>
          <w:szCs w:val="18"/>
        </w:rPr>
        <w:t xml:space="preserve">  ● 02 noches de alojamiento en Manao en hoteles de categoría elegida.</w:t>
      </w:r>
    </w:p>
    <w:p>
      <w:pPr>
        <w:jc w:val="start"/>
      </w:pPr>
      <w:r>
        <w:rPr>
          <w:rFonts w:ascii="Arial" w:hAnsi="Arial" w:eastAsia="Arial" w:cs="Arial"/>
          <w:sz w:val="18"/>
          <w:szCs w:val="18"/>
        </w:rPr>
        <w:t xml:space="preserve">  ● 02 noches de alojamiento en Lodge de Selva en Evolución Ecolodge.</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INDISPENSABLE VACUNA DE LA FIEBRE AMARILLA PARA INGRESAR A SELVA.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7E3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309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BC52CD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xrA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2025-07-08T13:40:12-06:00</dcterms:created>
  <dcterms:modified xsi:type="dcterms:W3CDTF">2025-07-08T13:40:12-06:00</dcterms:modified>
</cp:coreProperties>
</file>

<file path=docProps/custom.xml><?xml version="1.0" encoding="utf-8"?>
<Properties xmlns="http://schemas.openxmlformats.org/officeDocument/2006/custom-properties" xmlns:vt="http://schemas.openxmlformats.org/officeDocument/2006/docPropsVTypes"/>
</file>