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Bogotá Auténtica</w:t>
      </w:r>
    </w:p>
    <w:p>
      <w:pPr>
        <w:jc w:val="start"/>
      </w:pPr>
      <w:r>
        <w:rPr>
          <w:rFonts w:ascii="Arial" w:hAnsi="Arial" w:eastAsia="Arial" w:cs="Arial"/>
          <w:sz w:val="22.5"/>
          <w:szCs w:val="22.5"/>
          <w:b w:val="1"/>
          <w:bCs w:val="1"/>
        </w:rPr>
        <w:t xml:space="preserve">MT-52282  </w:t>
      </w:r>
      <w:r>
        <w:rPr>
          <w:rFonts w:ascii="Arial" w:hAnsi="Arial" w:eastAsia="Arial" w:cs="Arial"/>
          <w:sz w:val="22.5"/>
          <w:szCs w:val="22.5"/>
        </w:rPr>
        <w:t xml:space="preserve">- Web: </w:t>
      </w:r>
      <w:hyperlink r:id="rId7" w:history="1">
        <w:r>
          <w:rPr>
            <w:color w:val="blue"/>
          </w:rPr>
          <w:t xml:space="preserve">https://viaje.mt/NOldV</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$618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Bogotá.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a la Ciudad de Bogotá, Colombia. Llegada, recepción y traslado al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BOGOTÁ – Visita de Ciudad con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Cerro de Monserrate, ascenderemos a través del funicular o teleférico hasta la cima de la montaña dónde se puede apreciar una vista panorámica de la ciudad. Continuaremos, hacia el Museo de Oro, hogar de la colección más extensa de orfebrería prehispánica en el mundo. Finalizaremos este tour, con un recorrido panorámico a pie por el Centro Histórico, dónde se conocerán los principales atractivos arquitectónicos, históricos y culturales de Bogotá como el Teatro Colón, Palacio San Carlos, Plaza de Bolívar y la Catedral Primada de Colombia.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Los lunes el Museo del Oro está cerrado, se reemplazará por Museo Botero. Para domingos y festivos se incrementa la afluencia de público nacional, se recomienda adquirir el suplemento de Fast Pass en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Catedral de Sal Zipaquirá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municipio de Zipaquirá, ubicado a 49 Km al norte de Bogotá, dónde se encuentra ubicada la imperdible Catedral de Sal. Durante el trayecto, se podrán observar los paisajes de la Sabana de Bogotá. La Catedral es considerada como uno de los logros arquitectónicos y artísticos más destacados de Colombia, construida al interior una mina a 180 metros de profundidad, en su interior cuenta con un Viacrucis, Cúpula, Coro y Complejo del Nártex. Su importancia radica en el valor patrimonial, cultural y religioso. Adicionalmente, es considerada como la 1° Maravilla turística de Colombia y fue candidata a una de las 7 maravillas del mundo moderno. Regreso a Bogotá.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Tour de Tejo y Cerveza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una zona exclusiva de la ciudad dónde podrás sumérgete en la cultura colombiana con nuestro tour de Tejo y Degustación de Cerveza en Bogotá, una experiencia única que combina tradición, diversión y sabor. Disfruta del transporte ida y vuelta desde tu hotel mientras te acompañamos a una auténtica cancha de tejo, donde podrás practicar este deporte típico colombiano en un ambiente vibrante y lleno de historia. Además, deleita tu paladar con una degustación de cervezas artesanales locales, cuidadosamente seleccionadas para complementar la experiencia. Guiado por un experto, aprenderás sobre las raíces culturales del tejo y los secretos detrás de las mejores cervezas bogotanas. ¡Una actividad perfecta para vivir la esencia de Bogotá de una forma auténtica y entretenida!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Tour de Tejo y Cata de Cerveza opera de martes a domingo, horario: 14:00-17:00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regular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$ 588</w:t>
            </w:r>
          </w:p>
        </w:tc>
        <w:tc>
          <w:tcPr>
            <w:tcW w:w="5000" w:type="pct"/>
          </w:tcPr>
          <w:p>
            <w:pPr/>
            <w:r>
              <w:rPr>
                <w:rFonts w:ascii="Arial" w:hAnsi="Arial" w:eastAsia="Arial" w:cs="Arial"/>
                <w:color w:val="000000"/>
                <w:sz w:val="18"/>
                <w:szCs w:val="18"/>
              </w:rPr>
              <w:t xml:space="preserve">$ 618</w:t>
            </w:r>
          </w:p>
        </w:tc>
        <w:tc>
          <w:tcPr>
            <w:tcW w:w="5000" w:type="pct"/>
          </w:tcPr>
          <w:p>
            <w:pPr/>
            <w:r>
              <w:rPr>
                <w:rFonts w:ascii="Arial" w:hAnsi="Arial" w:eastAsia="Arial" w:cs="Arial"/>
                <w:color w:val="000000"/>
                <w:sz w:val="18"/>
                <w:szCs w:val="18"/>
              </w:rPr>
              <w:t xml:space="preserve">$ 928</w:t>
            </w:r>
          </w:p>
        </w:tc>
        <w:tc>
          <w:tcPr>
            <w:tcW w:w="5000" w:type="pct"/>
          </w:tcPr>
          <w:p>
            <w:pPr/>
            <w:r>
              <w:rPr>
                <w:rFonts w:ascii="Arial" w:hAnsi="Arial" w:eastAsia="Arial" w:cs="Arial"/>
                <w:color w:val="000000"/>
                <w:sz w:val="18"/>
                <w:szCs w:val="18"/>
              </w:rPr>
              <w:t xml:space="preserve">$ 558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$ 638</w:t>
            </w:r>
          </w:p>
        </w:tc>
        <w:tc>
          <w:tcPr>
            <w:tcW w:w="5000" w:type="pct"/>
          </w:tcPr>
          <w:p>
            <w:pPr/>
            <w:r>
              <w:rPr>
                <w:rFonts w:ascii="Arial" w:hAnsi="Arial" w:eastAsia="Arial" w:cs="Arial"/>
                <w:color w:val="000000"/>
                <w:sz w:val="18"/>
                <w:szCs w:val="18"/>
              </w:rPr>
              <w:t xml:space="preserve">$ 678</w:t>
            </w:r>
          </w:p>
        </w:tc>
        <w:tc>
          <w:tcPr>
            <w:tcW w:w="5000" w:type="pct"/>
          </w:tcPr>
          <w:p>
            <w:pPr/>
            <w:r>
              <w:rPr>
                <w:rFonts w:ascii="Arial" w:hAnsi="Arial" w:eastAsia="Arial" w:cs="Arial"/>
                <w:color w:val="000000"/>
                <w:sz w:val="18"/>
                <w:szCs w:val="18"/>
              </w:rPr>
              <w:t xml:space="preserve">$ 1,058</w:t>
            </w:r>
          </w:p>
        </w:tc>
        <w:tc>
          <w:tcPr>
            <w:tcW w:w="5000" w:type="pct"/>
          </w:tcPr>
          <w:p>
            <w:pPr/>
            <w:r>
              <w:rPr>
                <w:rFonts w:ascii="Arial" w:hAnsi="Arial" w:eastAsia="Arial" w:cs="Arial"/>
                <w:color w:val="000000"/>
                <w:sz w:val="18"/>
                <w:szCs w:val="18"/>
              </w:rPr>
              <w:t xml:space="preserve">$ 558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$ 698</w:t>
            </w:r>
          </w:p>
        </w:tc>
        <w:tc>
          <w:tcPr>
            <w:tcW w:w="5000" w:type="pct"/>
          </w:tcPr>
          <w:p>
            <w:pPr/>
            <w:r>
              <w:rPr>
                <w:rFonts w:ascii="Arial" w:hAnsi="Arial" w:eastAsia="Arial" w:cs="Arial"/>
                <w:color w:val="000000"/>
                <w:sz w:val="18"/>
                <w:szCs w:val="18"/>
              </w:rPr>
              <w:t xml:space="preserve">$ 758</w:t>
            </w:r>
          </w:p>
        </w:tc>
        <w:tc>
          <w:tcPr>
            <w:tcW w:w="5000" w:type="pct"/>
          </w:tcPr>
          <w:p>
            <w:pPr/>
            <w:r>
              <w:rPr>
                <w:rFonts w:ascii="Arial" w:hAnsi="Arial" w:eastAsia="Arial" w:cs="Arial"/>
                <w:color w:val="000000"/>
                <w:sz w:val="18"/>
                <w:szCs w:val="18"/>
              </w:rPr>
              <w:t xml:space="preserve">$ 1,218</w:t>
            </w:r>
          </w:p>
        </w:tc>
        <w:tc>
          <w:tcPr>
            <w:tcW w:w="5000" w:type="pct"/>
          </w:tcPr>
          <w:p>
            <w:pPr/>
            <w:r>
              <w:rPr>
                <w:rFonts w:ascii="Arial" w:hAnsi="Arial" w:eastAsia="Arial" w:cs="Arial"/>
                <w:color w:val="000000"/>
                <w:sz w:val="18"/>
                <w:szCs w:val="18"/>
              </w:rPr>
              <w:t xml:space="preserve">$ 558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$ 998</w:t>
            </w:r>
          </w:p>
        </w:tc>
        <w:tc>
          <w:tcPr>
            <w:tcW w:w="5000" w:type="pct"/>
          </w:tcPr>
          <w:p>
            <w:pPr/>
            <w:r>
              <w:rPr>
                <w:rFonts w:ascii="Arial" w:hAnsi="Arial" w:eastAsia="Arial" w:cs="Arial"/>
                <w:color w:val="000000"/>
                <w:sz w:val="18"/>
                <w:szCs w:val="18"/>
              </w:rPr>
              <w:t xml:space="preserve">$ 1,608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 – Precios no aplican en semana santa, pascua, eventos especiales, carnaval, navidad y año nuevo.– Tarifas validas con precompra de 21 dias. –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Faranda Express</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Best Western Plus 93</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Double Tree By Hilton</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Gran Hyatt</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Bogotá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04 noches de alojamiento en Bogotá en el hotel seleccionado.</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227D1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CBA15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382180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NOldV"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2025-07-09T13:18:45-06:00</dcterms:created>
  <dcterms:modified xsi:type="dcterms:W3CDTF">2025-07-09T13:18:45-06:00</dcterms:modified>
</cp:coreProperties>
</file>

<file path=docProps/custom.xml><?xml version="1.0" encoding="utf-8"?>
<Properties xmlns="http://schemas.openxmlformats.org/officeDocument/2006/custom-properties" xmlns:vt="http://schemas.openxmlformats.org/officeDocument/2006/docPropsVTypes"/>
</file>