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Medellín de Compras Vuelo desde Guadalajara</w:t>
      </w:r>
    </w:p>
    <w:p>
      <w:pPr>
        <w:jc w:val="start"/>
      </w:pPr>
      <w:r>
        <w:rPr>
          <w:rFonts w:ascii="Arial" w:hAnsi="Arial" w:eastAsia="Arial" w:cs="Arial"/>
          <w:sz w:val="22.5"/>
          <w:szCs w:val="22.5"/>
          <w:b w:val="1"/>
          <w:bCs w:val="1"/>
        </w:rPr>
        <w:t xml:space="preserve">MT-52297  </w:t>
      </w:r>
      <w:r>
        <w:rPr>
          <w:rFonts w:ascii="Arial" w:hAnsi="Arial" w:eastAsia="Arial" w:cs="Arial"/>
          <w:sz w:val="22.5"/>
          <w:szCs w:val="22.5"/>
        </w:rPr>
        <w:t xml:space="preserve">- Web: </w:t>
      </w:r>
      <w:hyperlink r:id="rId7" w:history="1">
        <w:r>
          <w:rPr>
            <w:color w:val="blue"/>
          </w:rPr>
          <w:t xml:space="preserve">https://viaje.mt/RXz2c</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$748 </w:t>
      </w:r>
      <w:r>
        <w:rPr>
          <w:rFonts w:ascii="Arial" w:hAnsi="Arial" w:eastAsia="Arial" w:cs="Arial"/>
          <w:sz w:val="25.5"/>
          <w:szCs w:val="25.5"/>
          <w:vertAlign w:val="superscript"/>
        </w:rPr>
        <w:t xml:space="preserve">USD</w:t>
      </w:r>
      <w:r>
        <w:rPr>
          <w:rFonts w:ascii="Arial" w:hAnsi="Arial" w:eastAsia="Arial" w:cs="Arial"/>
          <w:sz w:val="33"/>
          <w:szCs w:val="33"/>
        </w:rPr>
        <w:t xml:space="preserve"> | DBL + 439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domingo, martes y viernes.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Medellín.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GUADALAJARA – PANAMÁ – MEDELLÍN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a la Ciudad de Medellín en Colombia vía Panamá. Llegada, recepción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este tour visitando los lugares más representativos de la 'Ciudad de la Eterna Primavera': Medellín. Durante el recorrido se explorarán las historias urbanas que han dado forma a su identidad y cultura. Visitaremos el Pueblito Paisa, una réplica de un pueblo tradicional antioqueño que se refleja en las artesanías, gastronomía y arquitectura del lugar. Continuaremos, al Parque de los Pies Descalzos, un espacio al aire libre ideal para caminar y relajarse. Conectaremos a través de una corta caminata, a La Alpujarra, el epicentro del centro administrativo y de gobierno de la ciudad. Luego, nos desplazaremos al Parque Berrio, en pleno centro de la ciudad para apreciar la icónica Plaza de las Esculturas del Maestro Fernando Botero, las cuales se han convertido en símbolos de la ciudad. Regreso al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Guatapé y La Piedra del Peñol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la emblemática Piedra del Peñol, ubicada a 75 km de la ciudad de Medellín. Esta piedra es una formación rocosa que se alza a 220 metros sobre una represa que genera una parte significativa de la energía eléctrica del país. En este punto, quien desee puede ascender a pie por los más de 702 escalones que llevan hasta la cima para disfrutar de una vista panorámica de los municipios de Guatapé y El Peñol. Luego, nos embarcaremos en un bote tradicional para apreciar de forma panorámica el paisaje de la represa y su historia. Llegaremos a un restaurante local, dónde degustaremos un almuerzo típico y continuaremos con la visita al pintoresco pueblo de Guatapé, conocido por los coloridos zócalos que decorar sus casas y la famosa Plazoleta de los Zócalos. Regreso a Medellín.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la vibrante ciudad de Medellín mientras disfrutas de una experiencia única de compras que te llevará a los mejores centros comerciales como El Tesoro, Santa Fe y Oviedo, reconocidos por su amplia oferta de tiendas de moda y tecnología, así como a mercados locales como San Alejo y La Placita de Flórez, donde encontrarás artesanías únicas y souvenirs; también explorarás la exclusiva Zona Rosa y Provenza con sus boutiques de diseñadores locales y cafeterías acogedoras, todo mientras disfrutas de una deliciosa pausa gastronómica con un snack típico, acompañado por un guía profesional que te brindará asesoría personalizada durante todo el recorrido y te llevará de regreso a tu alojamiento al final de un día lleno de moda, cultura y tradición en la ciudad de la eterna primavera.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PANAMÁ –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de regreso a la Ciudad de Guadalajara, México vía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$ 728</w:t>
            </w:r>
          </w:p>
        </w:tc>
        <w:tc>
          <w:tcPr>
            <w:tcW w:w="5000" w:type="pct"/>
          </w:tcPr>
          <w:p>
            <w:pPr/>
            <w:r>
              <w:rPr>
                <w:rFonts w:ascii="Arial" w:hAnsi="Arial" w:eastAsia="Arial" w:cs="Arial"/>
                <w:color w:val="000000"/>
                <w:sz w:val="18"/>
                <w:szCs w:val="18"/>
              </w:rPr>
              <w:t xml:space="preserve">$ 748</w:t>
            </w:r>
          </w:p>
        </w:tc>
        <w:tc>
          <w:tcPr>
            <w:tcW w:w="5000" w:type="pct"/>
          </w:tcPr>
          <w:p>
            <w:pPr/>
            <w:r>
              <w:rPr>
                <w:rFonts w:ascii="Arial" w:hAnsi="Arial" w:eastAsia="Arial" w:cs="Arial"/>
                <w:color w:val="000000"/>
                <w:sz w:val="18"/>
                <w:szCs w:val="18"/>
              </w:rPr>
              <w:t xml:space="preserve">$ 1,088</w:t>
            </w:r>
          </w:p>
        </w:tc>
        <w:tc>
          <w:tcPr>
            <w:tcW w:w="5000" w:type="pct"/>
          </w:tcPr>
          <w:p>
            <w:pPr/>
            <w:r>
              <w:rPr>
                <w:rFonts w:ascii="Arial" w:hAnsi="Arial" w:eastAsia="Arial" w:cs="Arial"/>
                <w:color w:val="000000"/>
                <w:sz w:val="18"/>
                <w:szCs w:val="18"/>
              </w:rPr>
              <w:t xml:space="preserve">$ 638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$ 758</w:t>
            </w:r>
          </w:p>
        </w:tc>
        <w:tc>
          <w:tcPr>
            <w:tcW w:w="5000" w:type="pct"/>
          </w:tcPr>
          <w:p>
            <w:pPr/>
            <w:r>
              <w:rPr>
                <w:rFonts w:ascii="Arial" w:hAnsi="Arial" w:eastAsia="Arial" w:cs="Arial"/>
                <w:color w:val="000000"/>
                <w:sz w:val="18"/>
                <w:szCs w:val="18"/>
              </w:rPr>
              <w:t xml:space="preserve">$ 838</w:t>
            </w:r>
          </w:p>
        </w:tc>
        <w:tc>
          <w:tcPr>
            <w:tcW w:w="5000" w:type="pct"/>
          </w:tcPr>
          <w:p>
            <w:pPr/>
            <w:r>
              <w:rPr>
                <w:rFonts w:ascii="Arial" w:hAnsi="Arial" w:eastAsia="Arial" w:cs="Arial"/>
                <w:color w:val="000000"/>
                <w:sz w:val="18"/>
                <w:szCs w:val="18"/>
              </w:rPr>
              <w:t xml:space="preserve">$ 1,298</w:t>
            </w:r>
          </w:p>
        </w:tc>
        <w:tc>
          <w:tcPr>
            <w:tcW w:w="5000" w:type="pct"/>
          </w:tcPr>
          <w:p>
            <w:pPr/>
            <w:r>
              <w:rPr>
                <w:rFonts w:ascii="Arial" w:hAnsi="Arial" w:eastAsia="Arial" w:cs="Arial"/>
                <w:color w:val="000000"/>
                <w:sz w:val="18"/>
                <w:szCs w:val="18"/>
              </w:rPr>
              <w:t xml:space="preserve">$ 638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$ 798</w:t>
            </w:r>
          </w:p>
        </w:tc>
        <w:tc>
          <w:tcPr>
            <w:tcW w:w="5000" w:type="pct"/>
          </w:tcPr>
          <w:p>
            <w:pPr/>
            <w:r>
              <w:rPr>
                <w:rFonts w:ascii="Arial" w:hAnsi="Arial" w:eastAsia="Arial" w:cs="Arial"/>
                <w:color w:val="000000"/>
                <w:sz w:val="18"/>
                <w:szCs w:val="18"/>
              </w:rPr>
              <w:t xml:space="preserve">$ 858</w:t>
            </w:r>
          </w:p>
        </w:tc>
        <w:tc>
          <w:tcPr>
            <w:tcW w:w="5000" w:type="pct"/>
          </w:tcPr>
          <w:p>
            <w:pPr/>
            <w:r>
              <w:rPr>
                <w:rFonts w:ascii="Arial" w:hAnsi="Arial" w:eastAsia="Arial" w:cs="Arial"/>
                <w:color w:val="000000"/>
                <w:sz w:val="18"/>
                <w:szCs w:val="18"/>
              </w:rPr>
              <w:t xml:space="preserve">$ 1,348</w:t>
            </w:r>
          </w:p>
        </w:tc>
        <w:tc>
          <w:tcPr>
            <w:tcW w:w="5000" w:type="pct"/>
          </w:tcPr>
          <w:p>
            <w:pPr/>
            <w:r>
              <w:rPr>
                <w:rFonts w:ascii="Arial" w:hAnsi="Arial" w:eastAsia="Arial" w:cs="Arial"/>
                <w:color w:val="000000"/>
                <w:sz w:val="18"/>
                <w:szCs w:val="18"/>
              </w:rPr>
              <w:t xml:space="preserve">$ 638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$ 918</w:t>
            </w:r>
          </w:p>
        </w:tc>
        <w:tc>
          <w:tcPr>
            <w:tcW w:w="5000" w:type="pct"/>
          </w:tcPr>
          <w:p>
            <w:pPr/>
            <w:r>
              <w:rPr>
                <w:rFonts w:ascii="Arial" w:hAnsi="Arial" w:eastAsia="Arial" w:cs="Arial"/>
                <w:color w:val="000000"/>
                <w:sz w:val="18"/>
                <w:szCs w:val="18"/>
              </w:rPr>
              <w:t xml:space="preserve">$ 1,468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$ 758</w:t>
            </w:r>
          </w:p>
        </w:tc>
        <w:tc>
          <w:tcPr>
            <w:tcW w:w="5000" w:type="pct"/>
          </w:tcPr>
          <w:p>
            <w:pPr/>
            <w:r>
              <w:rPr>
                <w:rFonts w:ascii="Arial" w:hAnsi="Arial" w:eastAsia="Arial" w:cs="Arial"/>
                <w:color w:val="000000"/>
                <w:sz w:val="18"/>
                <w:szCs w:val="18"/>
              </w:rPr>
              <w:t xml:space="preserve">$ 788</w:t>
            </w:r>
          </w:p>
        </w:tc>
        <w:tc>
          <w:tcPr>
            <w:tcW w:w="5000" w:type="pct"/>
          </w:tcPr>
          <w:p>
            <w:pPr/>
            <w:r>
              <w:rPr>
                <w:rFonts w:ascii="Arial" w:hAnsi="Arial" w:eastAsia="Arial" w:cs="Arial"/>
                <w:color w:val="000000"/>
                <w:sz w:val="18"/>
                <w:szCs w:val="18"/>
              </w:rPr>
              <w:t xml:space="preserve">$ 1,148</w:t>
            </w:r>
          </w:p>
        </w:tc>
        <w:tc>
          <w:tcPr>
            <w:tcW w:w="5000" w:type="pct"/>
          </w:tcPr>
          <w:p>
            <w:pPr/>
            <w:r>
              <w:rPr>
                <w:rFonts w:ascii="Arial" w:hAnsi="Arial" w:eastAsia="Arial" w:cs="Arial"/>
                <w:color w:val="000000"/>
                <w:sz w:val="18"/>
                <w:szCs w:val="18"/>
              </w:rPr>
              <w:t xml:space="preserve">$ 658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$ 768</w:t>
            </w:r>
          </w:p>
        </w:tc>
        <w:tc>
          <w:tcPr>
            <w:tcW w:w="5000" w:type="pct"/>
          </w:tcPr>
          <w:p>
            <w:pPr/>
            <w:r>
              <w:rPr>
                <w:rFonts w:ascii="Arial" w:hAnsi="Arial" w:eastAsia="Arial" w:cs="Arial"/>
                <w:color w:val="000000"/>
                <w:sz w:val="18"/>
                <w:szCs w:val="18"/>
              </w:rPr>
              <w:t xml:space="preserve">$ 858</w:t>
            </w:r>
          </w:p>
        </w:tc>
        <w:tc>
          <w:tcPr>
            <w:tcW w:w="5000" w:type="pct"/>
          </w:tcPr>
          <w:p>
            <w:pPr/>
            <w:r>
              <w:rPr>
                <w:rFonts w:ascii="Arial" w:hAnsi="Arial" w:eastAsia="Arial" w:cs="Arial"/>
                <w:color w:val="000000"/>
                <w:sz w:val="18"/>
                <w:szCs w:val="18"/>
              </w:rPr>
              <w:t xml:space="preserve">$ 1,348</w:t>
            </w:r>
          </w:p>
        </w:tc>
        <w:tc>
          <w:tcPr>
            <w:tcW w:w="5000" w:type="pct"/>
          </w:tcPr>
          <w:p>
            <w:pPr/>
            <w:r>
              <w:rPr>
                <w:rFonts w:ascii="Arial" w:hAnsi="Arial" w:eastAsia="Arial" w:cs="Arial"/>
                <w:color w:val="000000"/>
                <w:sz w:val="18"/>
                <w:szCs w:val="18"/>
              </w:rPr>
              <w:t xml:space="preserve">$ 658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$ 838</w:t>
            </w:r>
          </w:p>
        </w:tc>
        <w:tc>
          <w:tcPr>
            <w:tcW w:w="5000" w:type="pct"/>
          </w:tcPr>
          <w:p>
            <w:pPr/>
            <w:r>
              <w:rPr>
                <w:rFonts w:ascii="Arial" w:hAnsi="Arial" w:eastAsia="Arial" w:cs="Arial"/>
                <w:color w:val="000000"/>
                <w:sz w:val="18"/>
                <w:szCs w:val="18"/>
              </w:rPr>
              <w:t xml:space="preserve">$ 888</w:t>
            </w:r>
          </w:p>
        </w:tc>
        <w:tc>
          <w:tcPr>
            <w:tcW w:w="5000" w:type="pct"/>
          </w:tcPr>
          <w:p>
            <w:pPr/>
            <w:r>
              <w:rPr>
                <w:rFonts w:ascii="Arial" w:hAnsi="Arial" w:eastAsia="Arial" w:cs="Arial"/>
                <w:color w:val="000000"/>
                <w:sz w:val="18"/>
                <w:szCs w:val="18"/>
              </w:rPr>
              <w:t xml:space="preserve">$ 1,398</w:t>
            </w:r>
          </w:p>
        </w:tc>
        <w:tc>
          <w:tcPr>
            <w:tcW w:w="5000" w:type="pct"/>
          </w:tcPr>
          <w:p>
            <w:pPr/>
            <w:r>
              <w:rPr>
                <w:rFonts w:ascii="Arial" w:hAnsi="Arial" w:eastAsia="Arial" w:cs="Arial"/>
                <w:color w:val="000000"/>
                <w:sz w:val="18"/>
                <w:szCs w:val="18"/>
              </w:rPr>
              <w:t xml:space="preserve">$ 658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$ 958</w:t>
            </w:r>
          </w:p>
        </w:tc>
        <w:tc>
          <w:tcPr>
            <w:tcW w:w="5000" w:type="pct"/>
          </w:tcPr>
          <w:p>
            <w:pPr/>
            <w:r>
              <w:rPr>
                <w:rFonts w:ascii="Arial" w:hAnsi="Arial" w:eastAsia="Arial" w:cs="Arial"/>
                <w:color w:val="000000"/>
                <w:sz w:val="18"/>
                <w:szCs w:val="18"/>
              </w:rPr>
              <w:t xml:space="preserve">$ 1,548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$ 439</w:t>
            </w:r>
          </w:p>
        </w:tc>
      </w:tr>
    </w:tbl>
    <w:p>
      <w:pPr>
        <w:jc w:val="start"/>
      </w:pPr>
      <w:r>
        <w:rPr>
          <w:rFonts w:ascii="Arial" w:hAnsi="Arial" w:eastAsia="Arial" w:cs="Arial"/>
          <w:color w:val="000000"/>
          <w:sz w:val="18"/>
          <w:szCs w:val="18"/>
        </w:rPr>
        <w:t xml:space="preserve">– Precios por persona en dólares. – Precios no aplican en eventos especiales, carnaval, navidad y año nuevo.– Tarifas validas con precompra de 21 dias. – Los precios cambian constantemente, así que te sugerimos la verificación de estos, y no utilizar este documento como definitivo.</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r>
        <w:rPr>
          <w:rFonts w:ascii="Arial" w:hAnsi="Arial" w:eastAsia="Arial" w:cs="Arial"/>
          <w:color w:val="000000"/>
          <w:sz w:val="18"/>
          <w:szCs w:val="18"/>
        </w:rPr>
        <w:t xml:space="preserve">–Precios NO aplican en Medellín:</w:t>
      </w:r>
    </w:p>
    <w:p>
      <w:pPr>
        <w:numPr>
          <w:ilvl w:val="0"/>
          <w:numId w:val="1"/>
        </w:numPr>
      </w:pPr>
      <w:r>
        <w:rPr>
          <w:rFonts w:ascii="Arial" w:hAnsi="Arial" w:eastAsia="Arial" w:cs="Arial"/>
          <w:color w:val="000000"/>
          <w:sz w:val="18"/>
          <w:szCs w:val="18"/>
        </w:rPr>
        <w:t xml:space="preserve">Feria de las dos Ruedas (15 al 18 de mayo 2025).</w:t>
      </w:r>
    </w:p>
    <w:p>
      <w:pPr>
        <w:numPr>
          <w:ilvl w:val="0"/>
          <w:numId w:val="1"/>
        </w:numPr>
      </w:pPr>
      <w:r>
        <w:rPr>
          <w:rFonts w:ascii="Arial" w:hAnsi="Arial" w:eastAsia="Arial" w:cs="Arial"/>
          <w:color w:val="000000"/>
          <w:sz w:val="18"/>
          <w:szCs w:val="18"/>
        </w:rPr>
        <w:t xml:space="preserve">COLOMBIAMODA (29 al 31 de julio 2025).</w:t>
      </w:r>
    </w:p>
    <w:p>
      <w:pPr>
        <w:numPr>
          <w:ilvl w:val="0"/>
          <w:numId w:val="1"/>
        </w:numPr>
      </w:pPr>
      <w:r>
        <w:rPr>
          <w:rFonts w:ascii="Arial" w:hAnsi="Arial" w:eastAsia="Arial" w:cs="Arial"/>
          <w:color w:val="000000"/>
          <w:sz w:val="18"/>
          <w:szCs w:val="18"/>
        </w:rPr>
        <w:t xml:space="preserve">Feria de Flores (01 al 10 de agosto 2025).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Vivre</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Faranda Collection</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Estelar Blue</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York Luxury</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jc w:val="start"/>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Guadalajara – Panamá – Medellín – Panamá - Guadalajara. </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04 noches de alojamiento en Medellín en el hotel seleccionado. </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5"/>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5"/>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82D6B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32070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12CD9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87FA82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62F1B2A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Xz2c"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2025-07-08T00:18:53-06:00</dcterms:created>
  <dcterms:modified xsi:type="dcterms:W3CDTF">2025-07-08T00:18:53-06:00</dcterms:modified>
</cp:coreProperties>
</file>

<file path=docProps/custom.xml><?xml version="1.0" encoding="utf-8"?>
<Properties xmlns="http://schemas.openxmlformats.org/officeDocument/2006/custom-properties" xmlns:vt="http://schemas.openxmlformats.org/officeDocument/2006/docPropsVTypes"/>
</file>