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Con Aroma de Café Iniciando desde Pereira</w:t>
      </w:r>
    </w:p>
    <w:p>
      <w:pPr>
        <w:jc w:val="start"/>
      </w:pPr>
      <w:r>
        <w:rPr>
          <w:rFonts w:ascii="Arial" w:hAnsi="Arial" w:eastAsia="Arial" w:cs="Arial"/>
          <w:sz w:val="22.5"/>
          <w:szCs w:val="22.5"/>
          <w:b w:val="1"/>
          <w:bCs w:val="1"/>
        </w:rPr>
        <w:t xml:space="preserve">MT-52301  </w:t>
      </w:r>
      <w:r>
        <w:rPr>
          <w:rFonts w:ascii="Arial" w:hAnsi="Arial" w:eastAsia="Arial" w:cs="Arial"/>
          <w:sz w:val="22.5"/>
          <w:szCs w:val="22.5"/>
        </w:rPr>
        <w:t xml:space="preserve">- Web: </w:t>
      </w:r>
      <w:hyperlink r:id="rId7" w:history="1">
        <w:r>
          <w:rPr>
            <w:color w:val="blue"/>
          </w:rPr>
          <w:t xml:space="preserve">https://viaje.mt/fPb1j</w:t>
        </w:r>
      </w:hyperlink>
    </w:p>
    <w:p>
      <w:pPr>
        <w:jc w:val="start"/>
      </w:pPr>
      <w:r>
        <w:rPr>
          <w:rFonts w:ascii="Arial" w:hAnsi="Arial" w:eastAsia="Arial" w:cs="Arial"/>
          <w:sz w:val="22.5"/>
          <w:szCs w:val="22.5"/>
          <w:b w:val="1"/>
          <w:bCs w:val="1"/>
        </w:rPr>
        <w:t xml:space="preserve">6 días y 5 noches</w:t>
      </w:r>
    </w:p>
    <w:p>
      <w:pPr>
        <w:jc w:val="start"/>
      </w:pPr>
    </w:p>
    <w:p>
      <w:pPr>
        <w:jc w:val="center"/>
        <w:spacing w:before="450"/>
      </w:pPr>
      <w:r>
        <w:rPr>
          <w:rFonts w:ascii="Arial" w:hAnsi="Arial" w:eastAsia="Arial" w:cs="Arial"/>
          <w:sz w:val="33"/>
          <w:szCs w:val="33"/>
        </w:rPr>
        <w:t xml:space="preserve">Desde $918 </w:t>
      </w:r>
      <w:r>
        <w:rPr>
          <w:rFonts w:ascii="Arial" w:hAnsi="Arial" w:eastAsia="Arial" w:cs="Arial"/>
          <w:sz w:val="25.5"/>
          <w:szCs w:val="25.5"/>
          <w:vertAlign w:val="superscript"/>
        </w:rPr>
        <w:t xml:space="preserve">USD</w:t>
      </w:r>
      <w:r>
        <w:rPr>
          <w:rFonts w:ascii="Arial" w:hAnsi="Arial" w:eastAsia="Arial" w:cs="Arial"/>
          <w:sz w:val="33"/>
          <w:szCs w:val="33"/>
        </w:rPr>
        <w:t xml:space="preserve"> | DBL + 399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Colombia.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Bogotá, Pereira.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BOGOTÁ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la Ciudad de Bogotá, Colombia. Llegada, recepción y traslado al hotel.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BOGOTÁ – Visita de Ciudad con Monserrate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partiremos hacia el Cerro de Monserrate, ascenderemos a través del funicular o teleférico hasta la cima de la montaña dónde se puede apreciar una vista panorámica de la ciudad. Continuaremos, hacia el Museo de Oro, hogar de la colección más extensa de orfebrería prehispánica en el mundo. Finalizaremos este tour, con un recorrido panorámico a pie por el Centro Histórico, dónde se conocerán los principales atractivos arquitectónicos, históricos y culturales de Bogotá como el Teatro Colón, Palacio San Carlos, Plaza de Bolívar y la Catedral Primada de Colombia.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Notas: Los lunes el Museo del Oro está cerrado, se reemplazará por Museo Botero. Para domingos y festivos se incrementa la afluencia de público nacional, se recomienda adquirir el suplemento de Fast Pass en Monserrate.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BOGOTÁ – PEREIRA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aeropuerto para abordar vuelo regular a la Ciudad de Pereira. Llegada, recepción y traslado al hotel. Alojamiento.</w:t>
      </w:r>
    </w:p>
    <w:p>
      <w:pPr>
        <w:jc w:val="both"/>
      </w:pPr>
      <w:r>
        <w:rPr>
          <w:rFonts w:ascii="Arial" w:hAnsi="Arial" w:eastAsia="Arial" w:cs="Arial"/>
          <w:sz w:val="18"/>
          <w:szCs w:val="18"/>
          <w:b w:val="1"/>
          <w:bCs w:val="1"/>
        </w:rPr>
        <w:t xml:space="preserve">DIA 4 PEREIRA – Tour de Café</w:t>
      </w:r>
    </w:p>
    <w:p>
      <w:pPr>
        <w:jc w:val="both"/>
      </w:pPr>
      <w:r>
        <w:rPr>
          <w:rFonts w:ascii="Arial" w:hAnsi="Arial" w:eastAsia="Arial" w:cs="Arial"/>
          <w:sz w:val="18"/>
          <w:szCs w:val="18"/>
          <w:b w:val="1"/>
          <w:bCs w:val="1"/>
        </w:rPr>
        <w:t xml:space="preserve"> </w:t>
      </w:r>
    </w:p>
    <w:p>
      <w:pPr>
        <w:jc w:val="both"/>
      </w:pPr>
      <w:r>
        <w:rPr>
          <w:rFonts w:ascii="Arial" w:hAnsi="Arial" w:eastAsia="Arial" w:cs="Arial"/>
        </w:rPr>
        <w:t xml:space="preserve">Este tour de café es vivir una experiencia única en el corazón del Paisaje Cultural Cafetero, reconocido como Patrimonio de la Humanidad por la UNESCO. Sumérgete en los aromas y sabores del café colombiano mientras recorres una auténtica finca cafetera en el Quindío, rodeado de montañas verdes y el inconfundible aroma a café recién tostado. Aprende de manos de expertos sobre todo el proceso, desde la siembra del grano hasta la taza. Disfruta de paisajes espectaculares, flora y fauna endémica, y la hospitalidad cafetera que caracteriza a esta región. Un tour lleno de tradición, cultura y, por supuesto, las mejores tazas de café del mundo. ¡Ven y descubre por qué el café colombiano es el mejor!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PEREIRA – Valle del Cocora y Salento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Valle del Cocora, en el departamento del Quindío, alberga la Palma de Cera del Quindío, el árbol nacional de Colombia, dentro del Parque Nacional Natural Los Nevados. Es un destino turístico principal, junto con Salento. Comenzamos con un cóctel de bienvenida y un recorrido por el bosque de palmas, donde admirarás la biodiversidad, incluyendo la majestuosa Palma de Cera y la posibilidad de ver al Cóndor de los Andes. Luego, exploraremos un antiguo sitio indígena y participaremos en una actividad de conservación, plantando plántulas de palma con un guía local. Finalizamos con un recorrido por Salento, visitando sus calles coloniales, talleres artesanales y el mirador de Cocora antes de regresar al punto de origen.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PEREIRA – BOGOTÁ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tomar el vuelo regular con destino a la Ciudad de México, con conexión.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b w:val="1"/>
          <w:bCs w:val="1"/>
        </w:rPr>
        <w:t xml:space="preserve">TEMPORADA BAJA</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$ 868</w:t>
            </w:r>
          </w:p>
        </w:tc>
        <w:tc>
          <w:tcPr>
            <w:tcW w:w="5000" w:type="pct"/>
          </w:tcPr>
          <w:p>
            <w:pPr/>
            <w:r>
              <w:rPr>
                <w:rFonts w:ascii="Arial" w:hAnsi="Arial" w:eastAsia="Arial" w:cs="Arial"/>
                <w:color w:val="000000"/>
                <w:sz w:val="18"/>
                <w:szCs w:val="18"/>
              </w:rPr>
              <w:t xml:space="preserve">$ 918</w:t>
            </w:r>
          </w:p>
        </w:tc>
        <w:tc>
          <w:tcPr>
            <w:tcW w:w="5000" w:type="pct"/>
          </w:tcPr>
          <w:p>
            <w:pPr/>
            <w:r>
              <w:rPr>
                <w:rFonts w:ascii="Arial" w:hAnsi="Arial" w:eastAsia="Arial" w:cs="Arial"/>
                <w:color w:val="000000"/>
                <w:sz w:val="18"/>
                <w:szCs w:val="18"/>
              </w:rPr>
              <w:t xml:space="preserve">$ 1,268</w:t>
            </w:r>
          </w:p>
        </w:tc>
        <w:tc>
          <w:tcPr>
            <w:tcW w:w="5000" w:type="pct"/>
          </w:tcPr>
          <w:p>
            <w:pPr/>
            <w:r>
              <w:rPr>
                <w:rFonts w:ascii="Arial" w:hAnsi="Arial" w:eastAsia="Arial" w:cs="Arial"/>
                <w:color w:val="000000"/>
                <w:sz w:val="18"/>
                <w:szCs w:val="18"/>
              </w:rPr>
              <w:t xml:space="preserve">$ 788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$ 898</w:t>
            </w:r>
          </w:p>
        </w:tc>
        <w:tc>
          <w:tcPr>
            <w:tcW w:w="5000" w:type="pct"/>
          </w:tcPr>
          <w:p>
            <w:pPr/>
            <w:r>
              <w:rPr>
                <w:rFonts w:ascii="Arial" w:hAnsi="Arial" w:eastAsia="Arial" w:cs="Arial"/>
                <w:color w:val="000000"/>
                <w:sz w:val="18"/>
                <w:szCs w:val="18"/>
              </w:rPr>
              <w:t xml:space="preserve">$ 958</w:t>
            </w:r>
          </w:p>
        </w:tc>
        <w:tc>
          <w:tcPr>
            <w:tcW w:w="5000" w:type="pct"/>
          </w:tcPr>
          <w:p>
            <w:pPr/>
            <w:r>
              <w:rPr>
                <w:rFonts w:ascii="Arial" w:hAnsi="Arial" w:eastAsia="Arial" w:cs="Arial"/>
                <w:color w:val="000000"/>
                <w:sz w:val="18"/>
                <w:szCs w:val="18"/>
              </w:rPr>
              <w:t xml:space="preserve">$ 1,388</w:t>
            </w:r>
          </w:p>
        </w:tc>
        <w:tc>
          <w:tcPr>
            <w:tcW w:w="5000" w:type="pct"/>
          </w:tcPr>
          <w:p>
            <w:pPr/>
            <w:r>
              <w:rPr>
                <w:rFonts w:ascii="Arial" w:hAnsi="Arial" w:eastAsia="Arial" w:cs="Arial"/>
                <w:color w:val="000000"/>
                <w:sz w:val="18"/>
                <w:szCs w:val="18"/>
              </w:rPr>
              <w:t xml:space="preserve">$ 788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$ 988</w:t>
            </w:r>
          </w:p>
        </w:tc>
        <w:tc>
          <w:tcPr>
            <w:tcW w:w="5000" w:type="pct"/>
          </w:tcPr>
          <w:p>
            <w:pPr/>
            <w:r>
              <w:rPr>
                <w:rFonts w:ascii="Arial" w:hAnsi="Arial" w:eastAsia="Arial" w:cs="Arial"/>
                <w:color w:val="000000"/>
                <w:sz w:val="18"/>
                <w:szCs w:val="18"/>
              </w:rPr>
              <w:t xml:space="preserve">$ 1,058</w:t>
            </w:r>
          </w:p>
        </w:tc>
        <w:tc>
          <w:tcPr>
            <w:tcW w:w="5000" w:type="pct"/>
          </w:tcPr>
          <w:p>
            <w:pPr/>
            <w:r>
              <w:rPr>
                <w:rFonts w:ascii="Arial" w:hAnsi="Arial" w:eastAsia="Arial" w:cs="Arial"/>
                <w:color w:val="000000"/>
                <w:sz w:val="18"/>
                <w:szCs w:val="18"/>
              </w:rPr>
              <w:t xml:space="preserve">$ 1,598</w:t>
            </w:r>
          </w:p>
        </w:tc>
        <w:tc>
          <w:tcPr>
            <w:tcW w:w="5000" w:type="pct"/>
          </w:tcPr>
          <w:p>
            <w:pPr/>
            <w:r>
              <w:rPr>
                <w:rFonts w:ascii="Arial" w:hAnsi="Arial" w:eastAsia="Arial" w:cs="Arial"/>
                <w:color w:val="000000"/>
                <w:sz w:val="18"/>
                <w:szCs w:val="18"/>
              </w:rPr>
              <w:t xml:space="preserve">$ 788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$ 1,298</w:t>
            </w:r>
          </w:p>
        </w:tc>
        <w:tc>
          <w:tcPr>
            <w:tcW w:w="5000" w:type="pct"/>
          </w:tcPr>
          <w:p>
            <w:pPr/>
            <w:r>
              <w:rPr>
                <w:rFonts w:ascii="Arial" w:hAnsi="Arial" w:eastAsia="Arial" w:cs="Arial"/>
                <w:color w:val="000000"/>
                <w:sz w:val="18"/>
                <w:szCs w:val="18"/>
              </w:rPr>
              <w:t xml:space="preserve">$ 2,068</w:t>
            </w:r>
          </w:p>
        </w:tc>
        <w:tc>
          <w:tcPr>
            <w:tcW w:w="5000" w:type="pct"/>
          </w:tcPr>
          <w:p>
            <w:pPr/>
            <w:r>
              <w:rPr>
                <w:rFonts w:ascii="Arial" w:hAnsi="Arial" w:eastAsia="Arial" w:cs="Arial"/>
                <w:color w:val="000000"/>
                <w:sz w:val="18"/>
                <w:szCs w:val="18"/>
              </w:rPr>
              <w:t xml:space="preserve">N/A</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TEMPORADA ALTA</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$ 938</w:t>
            </w:r>
          </w:p>
        </w:tc>
        <w:tc>
          <w:tcPr>
            <w:tcW w:w="5000" w:type="pct"/>
          </w:tcPr>
          <w:p>
            <w:pPr/>
            <w:r>
              <w:rPr>
                <w:rFonts w:ascii="Arial" w:hAnsi="Arial" w:eastAsia="Arial" w:cs="Arial"/>
                <w:color w:val="000000"/>
                <w:sz w:val="18"/>
                <w:szCs w:val="18"/>
              </w:rPr>
              <w:t xml:space="preserve">$ 998</w:t>
            </w:r>
          </w:p>
        </w:tc>
        <w:tc>
          <w:tcPr>
            <w:tcW w:w="5000" w:type="pct"/>
          </w:tcPr>
          <w:p>
            <w:pPr/>
            <w:r>
              <w:rPr>
                <w:rFonts w:ascii="Arial" w:hAnsi="Arial" w:eastAsia="Arial" w:cs="Arial"/>
                <w:color w:val="000000"/>
                <w:sz w:val="18"/>
                <w:szCs w:val="18"/>
              </w:rPr>
              <w:t xml:space="preserve">$ 1,318</w:t>
            </w:r>
          </w:p>
        </w:tc>
        <w:tc>
          <w:tcPr>
            <w:tcW w:w="5000" w:type="pct"/>
          </w:tcPr>
          <w:p>
            <w:pPr/>
            <w:r>
              <w:rPr>
                <w:rFonts w:ascii="Arial" w:hAnsi="Arial" w:eastAsia="Arial" w:cs="Arial"/>
                <w:color w:val="000000"/>
                <w:sz w:val="18"/>
                <w:szCs w:val="18"/>
              </w:rPr>
              <w:t xml:space="preserve">$ 798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$ 918</w:t>
            </w:r>
          </w:p>
        </w:tc>
        <w:tc>
          <w:tcPr>
            <w:tcW w:w="5000" w:type="pct"/>
          </w:tcPr>
          <w:p>
            <w:pPr/>
            <w:r>
              <w:rPr>
                <w:rFonts w:ascii="Arial" w:hAnsi="Arial" w:eastAsia="Arial" w:cs="Arial"/>
                <w:color w:val="000000"/>
                <w:sz w:val="18"/>
                <w:szCs w:val="18"/>
              </w:rPr>
              <w:t xml:space="preserve">$ 968</w:t>
            </w:r>
          </w:p>
        </w:tc>
        <w:tc>
          <w:tcPr>
            <w:tcW w:w="5000" w:type="pct"/>
          </w:tcPr>
          <w:p>
            <w:pPr/>
            <w:r>
              <w:rPr>
                <w:rFonts w:ascii="Arial" w:hAnsi="Arial" w:eastAsia="Arial" w:cs="Arial"/>
                <w:color w:val="000000"/>
                <w:sz w:val="18"/>
                <w:szCs w:val="18"/>
              </w:rPr>
              <w:t xml:space="preserve">$ 1,428</w:t>
            </w:r>
          </w:p>
        </w:tc>
        <w:tc>
          <w:tcPr>
            <w:tcW w:w="5000" w:type="pct"/>
          </w:tcPr>
          <w:p>
            <w:pPr/>
            <w:r>
              <w:rPr>
                <w:rFonts w:ascii="Arial" w:hAnsi="Arial" w:eastAsia="Arial" w:cs="Arial"/>
                <w:color w:val="000000"/>
                <w:sz w:val="18"/>
                <w:szCs w:val="18"/>
              </w:rPr>
              <w:t xml:space="preserve">$ 798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$ 1,018</w:t>
            </w:r>
          </w:p>
        </w:tc>
        <w:tc>
          <w:tcPr>
            <w:tcW w:w="5000" w:type="pct"/>
          </w:tcPr>
          <w:p>
            <w:pPr/>
            <w:r>
              <w:rPr>
                <w:rFonts w:ascii="Arial" w:hAnsi="Arial" w:eastAsia="Arial" w:cs="Arial"/>
                <w:color w:val="000000"/>
                <w:sz w:val="18"/>
                <w:szCs w:val="18"/>
              </w:rPr>
              <w:t xml:space="preserve">$ 1,088</w:t>
            </w:r>
          </w:p>
        </w:tc>
        <w:tc>
          <w:tcPr>
            <w:tcW w:w="5000" w:type="pct"/>
          </w:tcPr>
          <w:p>
            <w:pPr/>
            <w:r>
              <w:rPr>
                <w:rFonts w:ascii="Arial" w:hAnsi="Arial" w:eastAsia="Arial" w:cs="Arial"/>
                <w:color w:val="000000"/>
                <w:sz w:val="18"/>
                <w:szCs w:val="18"/>
              </w:rPr>
              <w:t xml:space="preserve">$ 1,678</w:t>
            </w:r>
          </w:p>
        </w:tc>
        <w:tc>
          <w:tcPr>
            <w:tcW w:w="5000" w:type="pct"/>
          </w:tcPr>
          <w:p>
            <w:pPr/>
            <w:r>
              <w:rPr>
                <w:rFonts w:ascii="Arial" w:hAnsi="Arial" w:eastAsia="Arial" w:cs="Arial"/>
                <w:color w:val="000000"/>
                <w:sz w:val="18"/>
                <w:szCs w:val="18"/>
              </w:rPr>
              <w:t xml:space="preserve">$ 798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$ 1,368</w:t>
            </w:r>
          </w:p>
        </w:tc>
        <w:tc>
          <w:tcPr>
            <w:tcW w:w="5000" w:type="pct"/>
          </w:tcPr>
          <w:p>
            <w:pPr/>
            <w:r>
              <w:rPr>
                <w:rFonts w:ascii="Arial" w:hAnsi="Arial" w:eastAsia="Arial" w:cs="Arial"/>
                <w:color w:val="000000"/>
                <w:sz w:val="18"/>
                <w:szCs w:val="18"/>
              </w:rPr>
              <w:t xml:space="preserve">$ 2,188</w:t>
            </w:r>
          </w:p>
        </w:tc>
        <w:tc>
          <w:tcPr>
            <w:tcW w:w="5000" w:type="pct"/>
          </w:tcPr>
          <w:p>
            <w:pPr/>
            <w:r>
              <w:rPr>
                <w:rFonts w:ascii="Arial" w:hAnsi="Arial" w:eastAsia="Arial" w:cs="Arial"/>
                <w:color w:val="000000"/>
                <w:sz w:val="18"/>
                <w:szCs w:val="18"/>
              </w:rPr>
              <w:t xml:space="preserve">N/A</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$ 399</w:t>
            </w:r>
          </w:p>
        </w:tc>
      </w:tr>
    </w:tbl>
    <w:p>
      <w:pPr>
        <w:jc w:val="start"/>
      </w:pPr>
      <w:r>
        <w:rPr>
          <w:rFonts w:ascii="Arial" w:hAnsi="Arial" w:eastAsia="Arial" w:cs="Arial"/>
          <w:color w:val="000000"/>
          <w:sz w:val="18"/>
          <w:szCs w:val="18"/>
        </w:rPr>
        <w:t xml:space="preserve">– Precios por persona en dólares. – Precios no aplican en eventos especiales, carnaval, navidad y año nuevo.– Tarifas validas con precompra de 21 dias. – Los precios cambian constantemente, así que te sugerimos la verificación de estos, y no utilizar este documento como definitivo.– TEMPORADA ALTA: Semana santa (11 al 20 de abril 2025) y 01 al 10 de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Faranda Express</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Hacienda Santa Clara</w:t>
            </w:r>
          </w:p>
        </w:tc>
        <w:tc>
          <w:tcPr>
            <w:tcW w:w="5000" w:type="pct"/>
          </w:tcPr>
          <w:p>
            <w:pPr/>
            <w:r>
              <w:rPr>
                <w:rFonts w:ascii="Arial" w:hAnsi="Arial" w:eastAsia="Arial" w:cs="Arial"/>
                <w:color w:val="000000"/>
                <w:sz w:val="18"/>
                <w:szCs w:val="18"/>
              </w:rPr>
              <w:t xml:space="preserve">Pereira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Best Western Pus 93</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Sonesta Pereira</w:t>
            </w:r>
          </w:p>
        </w:tc>
        <w:tc>
          <w:tcPr>
            <w:tcW w:w="5000" w:type="pct"/>
          </w:tcPr>
          <w:p>
            <w:pPr/>
            <w:r>
              <w:rPr>
                <w:rFonts w:ascii="Arial" w:hAnsi="Arial" w:eastAsia="Arial" w:cs="Arial"/>
                <w:color w:val="000000"/>
                <w:sz w:val="18"/>
                <w:szCs w:val="18"/>
              </w:rPr>
              <w:t xml:space="preserve">Pereira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Double Tree By Hilton</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Zasagua</w:t>
            </w:r>
          </w:p>
        </w:tc>
        <w:tc>
          <w:tcPr>
            <w:tcW w:w="5000" w:type="pct"/>
          </w:tcPr>
          <w:p>
            <w:pPr/>
            <w:r>
              <w:rPr>
                <w:rFonts w:ascii="Arial" w:hAnsi="Arial" w:eastAsia="Arial" w:cs="Arial"/>
                <w:color w:val="000000"/>
                <w:sz w:val="18"/>
                <w:szCs w:val="18"/>
              </w:rPr>
              <w:t xml:space="preserve">Pereira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Grand Hyatt</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San Carlos Lodge</w:t>
            </w:r>
          </w:p>
        </w:tc>
        <w:tc>
          <w:tcPr>
            <w:tcW w:w="5000" w:type="pct"/>
          </w:tcPr>
          <w:p>
            <w:pPr/>
            <w:r>
              <w:rPr>
                <w:rFonts w:ascii="Arial" w:hAnsi="Arial" w:eastAsia="Arial" w:cs="Arial"/>
                <w:color w:val="000000"/>
                <w:sz w:val="18"/>
                <w:szCs w:val="18"/>
              </w:rPr>
              <w:t xml:space="preserve">Pereira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Colombia</w:t>
            </w:r>
          </w:p>
        </w:tc>
      </w:tr>
      <w:tr>
        <w:trPr/>
        <w:tc>
          <w:tcPr>
            <w:tcW w:w="5000" w:type="pct"/>
            <w:gridSpan w:val="4"/>
          </w:tcPr>
          <w:p>
            <w:pPr>
              <w:jc w:val="start"/>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Bogotá – Pereira – Bogotá – México.</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02 noches de alojamiento en Bogotá en el hotel seleccionado.</w:t>
      </w:r>
    </w:p>
    <w:p>
      <w:pPr>
        <w:jc w:val="start"/>
      </w:pPr>
      <w:r>
        <w:rPr>
          <w:rFonts w:ascii="Arial" w:hAnsi="Arial" w:eastAsia="Arial" w:cs="Arial"/>
          <w:sz w:val="18"/>
          <w:szCs w:val="18"/>
        </w:rPr>
        <w:t xml:space="preserve">  ● 03 noches de alojamiento en Pereira en hotel seleccionado. </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aérea,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 </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 </w:t>
      </w:r>
    </w:p>
    <w:p>
      <w:pPr>
        <w:jc w:val="start"/>
      </w:pPr>
      <w:r>
        <w:rPr>
          <w:rFonts w:ascii="Arial" w:hAnsi="Arial" w:eastAsia="Arial" w:cs="Arial"/>
          <w:sz w:val="18"/>
          <w:szCs w:val="18"/>
        </w:rPr>
        <w:t xml:space="preserve">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COLOMBIA</w:t>
      </w:r>
    </w:p>
    <w:p>
      <w:pPr>
        <w:jc w:val="start"/>
      </w:pPr>
      <w:r>
        <w:rPr>
          <w:rFonts w:ascii="Arial" w:hAnsi="Arial" w:eastAsia="Arial" w:cs="Arial"/>
          <w:sz w:val="18"/>
          <w:szCs w:val="18"/>
          <w:b w:val="1"/>
          <w:bCs w:val="1"/>
        </w:rPr>
        <w:t xml:space="preserve">REQUISITOS PARA INGRESAR A COLOMBIA</w:t>
      </w:r>
    </w:p>
    <w:p>
      <w:pPr>
        <w:numPr>
          <w:ilvl w:val="0"/>
          <w:numId w:val="3"/>
        </w:numPr>
      </w:pPr>
      <w:r>
        <w:rPr>
          <w:rFonts w:ascii="Arial" w:hAnsi="Arial" w:eastAsia="Arial" w:cs="Arial"/>
          <w:sz w:val="18"/>
          <w:szCs w:val="18"/>
        </w:rPr>
        <w:t xml:space="preserve">Registrarse en Check-Mig en un plazo de 72 horas y como máximo 2 horas antes de su vuelo a través del siguiente enlace: https://apps.migracioncolombia.gov.co/pre-registro/public/preregistro.jsf Los viajeros reciben un correo electrónico de confirmación que deben presentar a su llegada a Colombia. </w:t>
      </w:r>
    </w:p>
    <w:p>
      <w:pPr>
        <w:numPr>
          <w:ilvl w:val="0"/>
          <w:numId w:val="3"/>
        </w:numPr>
      </w:pPr>
      <w:r>
        <w:rPr>
          <w:rFonts w:ascii="Arial" w:hAnsi="Arial" w:eastAsia="Arial" w:cs="Arial"/>
          <w:sz w:val="18"/>
          <w:szCs w:val="18"/>
        </w:rPr>
        <w:t xml:space="preserve">Uso de mascarilla opcional.</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C3A32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C30F0F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8378B207"/>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fPb1j"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2025-07-08T23:44:06-06:00</dcterms:created>
  <dcterms:modified xsi:type="dcterms:W3CDTF">2025-07-08T23:44:06-06:00</dcterms:modified>
</cp:coreProperties>
</file>

<file path=docProps/custom.xml><?xml version="1.0" encoding="utf-8"?>
<Properties xmlns="http://schemas.openxmlformats.org/officeDocument/2006/custom-properties" xmlns:vt="http://schemas.openxmlformats.org/officeDocument/2006/docPropsVTypes"/>
</file>