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Maravillas de Colombia</w:t>
      </w:r>
    </w:p>
    <w:p>
      <w:pPr>
        <w:jc w:val="start"/>
      </w:pPr>
      <w:r>
        <w:rPr>
          <w:rFonts w:ascii="Arial" w:hAnsi="Arial" w:eastAsia="Arial" w:cs="Arial"/>
          <w:sz w:val="22.5"/>
          <w:szCs w:val="22.5"/>
          <w:b w:val="1"/>
          <w:bCs w:val="1"/>
        </w:rPr>
        <w:t xml:space="preserve">MT-52302  </w:t>
      </w:r>
      <w:r>
        <w:rPr>
          <w:rFonts w:ascii="Arial" w:hAnsi="Arial" w:eastAsia="Arial" w:cs="Arial"/>
          <w:sz w:val="22.5"/>
          <w:szCs w:val="22.5"/>
        </w:rPr>
        <w:t xml:space="preserve">- Web: </w:t>
      </w:r>
      <w:hyperlink r:id="rId7" w:history="1">
        <w:r>
          <w:rPr>
            <w:color w:val="blue"/>
          </w:rPr>
          <w:t xml:space="preserve">https://viaje.mt/eohfd</w:t>
        </w:r>
      </w:hyperlink>
    </w:p>
    <w:p>
      <w:pPr>
        <w:jc w:val="start"/>
      </w:pPr>
      <w:r>
        <w:rPr>
          <w:rFonts w:ascii="Arial" w:hAnsi="Arial" w:eastAsia="Arial" w:cs="Arial"/>
          <w:sz w:val="22.5"/>
          <w:szCs w:val="22.5"/>
          <w:b w:val="1"/>
          <w:bCs w:val="1"/>
        </w:rPr>
        <w:t xml:space="preserve">12 días y 11 noches</w:t>
      </w:r>
    </w:p>
    <w:p>
      <w:pPr>
        <w:jc w:val="start"/>
      </w:pPr>
    </w:p>
    <w:p>
      <w:pPr>
        <w:jc w:val="center"/>
        <w:spacing w:before="450"/>
      </w:pPr>
      <w:r>
        <w:rPr>
          <w:rFonts w:ascii="Arial" w:hAnsi="Arial" w:eastAsia="Arial" w:cs="Arial"/>
          <w:sz w:val="33"/>
          <w:szCs w:val="33"/>
        </w:rPr>
        <w:t xml:space="preserve">Desde $1728 </w:t>
      </w:r>
      <w:r>
        <w:rPr>
          <w:rFonts w:ascii="Arial" w:hAnsi="Arial" w:eastAsia="Arial" w:cs="Arial"/>
          <w:sz w:val="25.5"/>
          <w:szCs w:val="25.5"/>
          <w:vertAlign w:val="superscript"/>
        </w:rPr>
        <w:t xml:space="preserve">USD</w:t>
      </w:r>
      <w:r>
        <w:rPr>
          <w:rFonts w:ascii="Arial" w:hAnsi="Arial" w:eastAsia="Arial" w:cs="Arial"/>
          <w:sz w:val="33"/>
          <w:szCs w:val="33"/>
        </w:rPr>
        <w:t xml:space="preserve"> | DBL + 419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 Medellín, Santa Marta, 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Bogotá, Colombia. Llegada, recepción y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Visita de Ciudad con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Visita a la Catedral de Sal de Zipaquirá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municipio de Zipaquirá, ubicado a 49 Km al norte de Bogotá, dónde se encuentra ubicada la imperdible Catedral de Sal. Durante el trayecto, se podrán observar los paisajes de la Sabana de Bogotá. La Catedral es considerada como uno de los logros arquitectónicos y artísticos más destacados de Colombia, construida al interior una mina a 180 metros de profundidad, en su interior cuenta con un Viacrucis, Cúpula, Coro y Complejo del Nártex. Su importancia radica en el valor patrimonial, cultural y religioso. Adicionalmente, es considerada como la 1° Maravilla turística de Colombia y fue candidata a una de las 7 maravillas del mundo moderno. Regreso a Bogotá.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MEDELLIN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con destino a Medellín.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MEDELLÍN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este tour visitando los lugares más representativos de la 'Ciudad de la Eterna Primavera': Medellín. Durante el recorrido se explorarán las historias urbanas que han dado forma a su identidad y cultura. Visitaremos el Pueblito Paisa, una réplica de un pueblo tradicional antioqueño que se refleja en las artesanías, gastronomía y arquitectura del lugar. Continuaremos, al Parque de los Pies Descalzos, un espacio al aire libre ideal para caminar y relajarse. Conectaremos a través de una corta caminata, a La Alpujarra, el epicentro del centro administrativo y de gobierno de la ciudad. Luego, nos desplazaremos al Parque Berrio, en pleno centro de la ciudad para apreciar la icónica Plaza de las Esculturas del Maestro Fernando Botero, las cuales se han convertido en símbolos de la ciudad.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Guatapé y La Piedra del Peñol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la emblemática Piedra del Peñol, ubicada a 75 km de la ciudad de Medellín. Esta piedra es una formación rocosa que se alza a 220 metros sobre una represa que genera una parte significativa de la energía eléctrica del país. En este punto, quien desee puede ascender a pie por los más de 702 escalones que llevan hasta la cima para disfrutar de una vista panorámica de los municipios de Guatapé y El Peñol. Luego, nos embarcaremos en un bote tradicional para apreciar de forma panorámica el paisaje de la represa y su historia. Llegaremos a un restaurante local, dónde degustaremos un almuerzo típico y continuaremos con la visita al pintoresco pueblo de Guatapé, conocido por los coloridos zócalos que decorar sus casas y la famosa Plazoleta de los Zócalos. Regreso a Medellín.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MEDELLIN – SANTA MARTA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con destino a Santa Marta. Llegada, recepción y traslado a su hotel. Al llegar, nos embarcaremos en un enriquecedor city tour cultural por Santa Marta, donde explorarás lo mejor de esta histórica ciudad. Comienza tu recorrido en la Quinta de San Pedro Alejandrino, la emblemática finca colonial que sirvió de refugio a Simón Bolívar en sus últimos días, y admira sus hermosos jardines. Luego, adéntrate en el Museo Arqueológico Tayrona para descubrir la colección de artefactos indígenas que revelan la rica herencia de la civilización Tayrona. Continuarás tu viaje con una visita a la Catedral de Santa Marta, la más antigua de Colombia, donde su elegante arquitectura y su historia te sumergirán en el pasado colonial. Pasea por el Centro Histórico, disfrutando de la arquitectura colonial y las plazas. Finalmente, disfruta de la vista del sector de El Rodadero, famosa por su arena blanca y sus aguas cristalinas, donde podrás descansar y disfrutar de la brisa caribeña.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SANTA MARTA – Parque Tayrona y Playa Cristal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la belleza del Parque Nacional Natural Tayrona con un tour inolvidable a Neguanje y Playa Cristal. Comenzamos nuestra aventura con un cómodo transporte terrestre desde Santa Marta, atravesando paisajes exuberantes y tropicales hasta llegar al sector de Neguanje. Desde allí, abordaremos una lancha que nos llevará por las aguas cristalinas hasta la famosa Playa Cristal, conocida por su arena blanca y sus aguas tranquilas, perfectas para nadar y relajarse. Disfruta de un día completo de sol, mar y naturaleza, rodeado de una impresionante biodiversidad marina y terrestre. ¡Vive una experiencia única en el Caribe colombiano!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SANTA MARTA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terrestre en servicio compartido, para dirigirnos a la ciudad de Cartagena. (Duración aproximada de 05 horas).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el con un recorrido panorámico por la bahía,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Isla Tierra Bomba – Atolon Club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Inicia a las 09:00 a.m. A tu llegada al muelle La Bodeguita a las 08:45 a.m., pasaras a la zona de embarque puerta N. 2. Embarcaremos una lancha rápida por aproximadamente 15 minutos hasta llegar a la Isla Tierra Bomba, Atolón Club Beach cuenta con una de las ubicaciones más privilegiadas cerca a Cartagena. Con playa privada, servicios de spa y piscina. Durante el recorrido se podrá apreciar la Bahía de Cartagena. A la llegada a la Isla, se recibe con un coctel de bienvenida y un recorrido por las instalaciones, durante el día se puede disfrutar de dos zonas de playa y un almuerzo típico. Regreso a la Bahía de Cartagena a las 15:30 aproximadamente.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Traslado Muelle – hotel en Cartagena ni propinas.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BOGOTÁ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tomar el vuelo regular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$ 1,668</w:t>
            </w:r>
          </w:p>
        </w:tc>
        <w:tc>
          <w:tcPr>
            <w:tcW w:w="5000" w:type="pct"/>
          </w:tcPr>
          <w:p>
            <w:pPr/>
            <w:r>
              <w:rPr>
                <w:rFonts w:ascii="Arial" w:hAnsi="Arial" w:eastAsia="Arial" w:cs="Arial"/>
                <w:color w:val="000000"/>
                <w:sz w:val="18"/>
                <w:szCs w:val="18"/>
              </w:rPr>
              <w:t xml:space="preserve">$ 1,728</w:t>
            </w:r>
          </w:p>
        </w:tc>
        <w:tc>
          <w:tcPr>
            <w:tcW w:w="5000" w:type="pct"/>
          </w:tcPr>
          <w:p>
            <w:pPr/>
            <w:r>
              <w:rPr>
                <w:rFonts w:ascii="Arial" w:hAnsi="Arial" w:eastAsia="Arial" w:cs="Arial"/>
                <w:color w:val="000000"/>
                <w:sz w:val="18"/>
                <w:szCs w:val="18"/>
              </w:rPr>
              <w:t xml:space="preserve">$ 2,628</w:t>
            </w:r>
          </w:p>
        </w:tc>
        <w:tc>
          <w:tcPr>
            <w:tcW w:w="5000" w:type="pct"/>
          </w:tcPr>
          <w:p>
            <w:pPr/>
            <w:r>
              <w:rPr>
                <w:rFonts w:ascii="Arial" w:hAnsi="Arial" w:eastAsia="Arial" w:cs="Arial"/>
                <w:color w:val="000000"/>
                <w:sz w:val="18"/>
                <w:szCs w:val="18"/>
              </w:rPr>
              <w:t xml:space="preserve">$ 1,418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$ 1,688</w:t>
            </w:r>
          </w:p>
        </w:tc>
        <w:tc>
          <w:tcPr>
            <w:tcW w:w="5000" w:type="pct"/>
          </w:tcPr>
          <w:p>
            <w:pPr/>
            <w:r>
              <w:rPr>
                <w:rFonts w:ascii="Arial" w:hAnsi="Arial" w:eastAsia="Arial" w:cs="Arial"/>
                <w:color w:val="000000"/>
                <w:sz w:val="18"/>
                <w:szCs w:val="18"/>
              </w:rPr>
              <w:t xml:space="preserve">$ 1,858</w:t>
            </w:r>
          </w:p>
        </w:tc>
        <w:tc>
          <w:tcPr>
            <w:tcW w:w="5000" w:type="pct"/>
          </w:tcPr>
          <w:p>
            <w:pPr/>
            <w:r>
              <w:rPr>
                <w:rFonts w:ascii="Arial" w:hAnsi="Arial" w:eastAsia="Arial" w:cs="Arial"/>
                <w:color w:val="000000"/>
                <w:sz w:val="18"/>
                <w:szCs w:val="18"/>
              </w:rPr>
              <w:t xml:space="preserve">$ 2,848</w:t>
            </w:r>
          </w:p>
        </w:tc>
        <w:tc>
          <w:tcPr>
            <w:tcW w:w="5000" w:type="pct"/>
          </w:tcPr>
          <w:p>
            <w:pPr/>
            <w:r>
              <w:rPr>
                <w:rFonts w:ascii="Arial" w:hAnsi="Arial" w:eastAsia="Arial" w:cs="Arial"/>
                <w:color w:val="000000"/>
                <w:sz w:val="18"/>
                <w:szCs w:val="18"/>
              </w:rPr>
              <w:t xml:space="preserve">$ 1,418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$ 1,948</w:t>
            </w:r>
          </w:p>
        </w:tc>
        <w:tc>
          <w:tcPr>
            <w:tcW w:w="5000" w:type="pct"/>
          </w:tcPr>
          <w:p>
            <w:pPr/>
            <w:r>
              <w:rPr>
                <w:rFonts w:ascii="Arial" w:hAnsi="Arial" w:eastAsia="Arial" w:cs="Arial"/>
                <w:color w:val="000000"/>
                <w:sz w:val="18"/>
                <w:szCs w:val="18"/>
              </w:rPr>
              <w:t xml:space="preserve">$ 2,128</w:t>
            </w:r>
          </w:p>
        </w:tc>
        <w:tc>
          <w:tcPr>
            <w:tcW w:w="5000" w:type="pct"/>
          </w:tcPr>
          <w:p>
            <w:pPr/>
            <w:r>
              <w:rPr>
                <w:rFonts w:ascii="Arial" w:hAnsi="Arial" w:eastAsia="Arial" w:cs="Arial"/>
                <w:color w:val="000000"/>
                <w:sz w:val="18"/>
                <w:szCs w:val="18"/>
              </w:rPr>
              <w:t xml:space="preserve">$ 3,338</w:t>
            </w:r>
          </w:p>
        </w:tc>
        <w:tc>
          <w:tcPr>
            <w:tcW w:w="5000" w:type="pct"/>
          </w:tcPr>
          <w:p>
            <w:pPr/>
            <w:r>
              <w:rPr>
                <w:rFonts w:ascii="Arial" w:hAnsi="Arial" w:eastAsia="Arial" w:cs="Arial"/>
                <w:color w:val="000000"/>
                <w:sz w:val="18"/>
                <w:szCs w:val="18"/>
              </w:rPr>
              <w:t xml:space="preserve">$ 1,418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$ 2,688</w:t>
            </w:r>
          </w:p>
        </w:tc>
        <w:tc>
          <w:tcPr>
            <w:tcW w:w="5000" w:type="pct"/>
          </w:tcPr>
          <w:p>
            <w:pPr/>
            <w:r>
              <w:rPr>
                <w:rFonts w:ascii="Arial" w:hAnsi="Arial" w:eastAsia="Arial" w:cs="Arial"/>
                <w:color w:val="000000"/>
                <w:sz w:val="18"/>
                <w:szCs w:val="18"/>
              </w:rPr>
              <w:t xml:space="preserve">$ 4,448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$ 1,798</w:t>
            </w:r>
          </w:p>
        </w:tc>
        <w:tc>
          <w:tcPr>
            <w:tcW w:w="5000" w:type="pct"/>
          </w:tcPr>
          <w:p>
            <w:pPr/>
            <w:r>
              <w:rPr>
                <w:rFonts w:ascii="Arial" w:hAnsi="Arial" w:eastAsia="Arial" w:cs="Arial"/>
                <w:color w:val="000000"/>
                <w:sz w:val="18"/>
                <w:szCs w:val="18"/>
              </w:rPr>
              <w:t xml:space="preserve">$ 1,868</w:t>
            </w:r>
          </w:p>
        </w:tc>
        <w:tc>
          <w:tcPr>
            <w:tcW w:w="5000" w:type="pct"/>
          </w:tcPr>
          <w:p>
            <w:pPr/>
            <w:r>
              <w:rPr>
                <w:rFonts w:ascii="Arial" w:hAnsi="Arial" w:eastAsia="Arial" w:cs="Arial"/>
                <w:color w:val="000000"/>
                <w:sz w:val="18"/>
                <w:szCs w:val="18"/>
              </w:rPr>
              <w:t xml:space="preserve">$ 2,888</w:t>
            </w:r>
          </w:p>
        </w:tc>
        <w:tc>
          <w:tcPr>
            <w:tcW w:w="5000" w:type="pct"/>
          </w:tcPr>
          <w:p>
            <w:pPr/>
            <w:r>
              <w:rPr>
                <w:rFonts w:ascii="Arial" w:hAnsi="Arial" w:eastAsia="Arial" w:cs="Arial"/>
                <w:color w:val="000000"/>
                <w:sz w:val="18"/>
                <w:szCs w:val="18"/>
              </w:rPr>
              <w:t xml:space="preserve">$ 1,498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$ 1,768</w:t>
            </w:r>
          </w:p>
        </w:tc>
        <w:tc>
          <w:tcPr>
            <w:tcW w:w="5000" w:type="pct"/>
          </w:tcPr>
          <w:p>
            <w:pPr/>
            <w:r>
              <w:rPr>
                <w:rFonts w:ascii="Arial" w:hAnsi="Arial" w:eastAsia="Arial" w:cs="Arial"/>
                <w:color w:val="000000"/>
                <w:sz w:val="18"/>
                <w:szCs w:val="18"/>
              </w:rPr>
              <w:t xml:space="preserve">$ 1,928</w:t>
            </w:r>
          </w:p>
        </w:tc>
        <w:tc>
          <w:tcPr>
            <w:tcW w:w="5000" w:type="pct"/>
          </w:tcPr>
          <w:p>
            <w:pPr/>
            <w:r>
              <w:rPr>
                <w:rFonts w:ascii="Arial" w:hAnsi="Arial" w:eastAsia="Arial" w:cs="Arial"/>
                <w:color w:val="000000"/>
                <w:sz w:val="18"/>
                <w:szCs w:val="18"/>
              </w:rPr>
              <w:t xml:space="preserve">$ 3,098</w:t>
            </w:r>
          </w:p>
        </w:tc>
        <w:tc>
          <w:tcPr>
            <w:tcW w:w="5000" w:type="pct"/>
          </w:tcPr>
          <w:p>
            <w:pPr/>
            <w:r>
              <w:rPr>
                <w:rFonts w:ascii="Arial" w:hAnsi="Arial" w:eastAsia="Arial" w:cs="Arial"/>
                <w:color w:val="000000"/>
                <w:sz w:val="18"/>
                <w:szCs w:val="18"/>
              </w:rPr>
              <w:t xml:space="preserve">$ 1,498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$ 2,188</w:t>
            </w:r>
          </w:p>
        </w:tc>
        <w:tc>
          <w:tcPr>
            <w:tcW w:w="5000" w:type="pct"/>
          </w:tcPr>
          <w:p>
            <w:pPr/>
            <w:r>
              <w:rPr>
                <w:rFonts w:ascii="Arial" w:hAnsi="Arial" w:eastAsia="Arial" w:cs="Arial"/>
                <w:color w:val="000000"/>
                <w:sz w:val="18"/>
                <w:szCs w:val="18"/>
              </w:rPr>
              <w:t xml:space="preserve">$ 2,448</w:t>
            </w:r>
          </w:p>
        </w:tc>
        <w:tc>
          <w:tcPr>
            <w:tcW w:w="5000" w:type="pct"/>
          </w:tcPr>
          <w:p>
            <w:pPr/>
            <w:r>
              <w:rPr>
                <w:rFonts w:ascii="Arial" w:hAnsi="Arial" w:eastAsia="Arial" w:cs="Arial"/>
                <w:color w:val="000000"/>
                <w:sz w:val="18"/>
                <w:szCs w:val="18"/>
              </w:rPr>
              <w:t xml:space="preserve">$ 3,978</w:t>
            </w:r>
          </w:p>
        </w:tc>
        <w:tc>
          <w:tcPr>
            <w:tcW w:w="5000" w:type="pct"/>
          </w:tcPr>
          <w:p>
            <w:pPr/>
            <w:r>
              <w:rPr>
                <w:rFonts w:ascii="Arial" w:hAnsi="Arial" w:eastAsia="Arial" w:cs="Arial"/>
                <w:color w:val="000000"/>
                <w:sz w:val="18"/>
                <w:szCs w:val="18"/>
              </w:rPr>
              <w:t xml:space="preserve">$ 1,498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$ 2,918</w:t>
            </w:r>
          </w:p>
        </w:tc>
        <w:tc>
          <w:tcPr>
            <w:tcW w:w="5000" w:type="pct"/>
          </w:tcPr>
          <w:p>
            <w:pPr/>
            <w:r>
              <w:rPr>
                <w:rFonts w:ascii="Arial" w:hAnsi="Arial" w:eastAsia="Arial" w:cs="Arial"/>
                <w:color w:val="000000"/>
                <w:sz w:val="18"/>
                <w:szCs w:val="18"/>
              </w:rPr>
              <w:t xml:space="preserve">$ 4,858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$ 419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TEMPORADA ALTA: Semana santa (11 al 20 de abril 2025).– </w:t>
      </w:r>
      <w:r>
        <w:rPr>
          <w:rFonts w:ascii="Arial" w:hAnsi="Arial" w:eastAsia="Arial" w:cs="Arial"/>
          <w:color w:val="000000"/>
          <w:sz w:val="19.199999999999999289457264239899814128875732421875"/>
          <w:szCs w:val="19.199999999999999289457264239899814128875732421875"/>
        </w:rPr>
        <w:t xml:space="preserve">Precios NO aplican en Medellín:</w:t>
      </w:r>
      <w:r>
        <w:rPr>
          <w:rFonts w:ascii="Arial" w:hAnsi="Arial" w:eastAsia="Arial" w:cs="Arial"/>
          <w:color w:val="000000"/>
          <w:sz w:val="18"/>
          <w:szCs w:val="18"/>
        </w:rPr>
        <w:t xml:space="preserve">•</w:t>
      </w:r>
      <w:r>
        <w:rPr>
          <w:rFonts w:ascii="Arial" w:hAnsi="Arial" w:eastAsia="Arial" w:cs="Arial"/>
          <w:color w:val="000000"/>
          <w:sz w:val="18"/>
          <w:szCs w:val="18"/>
        </w:rPr>
        <w:t xml:space="preserve">	</w:t>
      </w:r>
      <w:r>
        <w:rPr>
          <w:rFonts w:ascii="Arial" w:hAnsi="Arial" w:eastAsia="Arial" w:cs="Arial"/>
          <w:color w:val="000000"/>
          <w:sz w:val="18"/>
          <w:szCs w:val="18"/>
        </w:rPr>
        <w:t xml:space="preserve">Feria de las dos Ruedas (15 al 18 mayo 2025). •</w:t>
      </w:r>
      <w:r>
        <w:rPr>
          <w:rFonts w:ascii="Arial" w:hAnsi="Arial" w:eastAsia="Arial" w:cs="Arial"/>
          <w:color w:val="000000"/>
          <w:sz w:val="18"/>
          <w:szCs w:val="18"/>
        </w:rPr>
        <w:t xml:space="preserve">	</w:t>
      </w:r>
      <w:r>
        <w:rPr>
          <w:rFonts w:ascii="Arial" w:hAnsi="Arial" w:eastAsia="Arial" w:cs="Arial"/>
          <w:color w:val="000000"/>
          <w:sz w:val="18"/>
          <w:szCs w:val="18"/>
        </w:rPr>
        <w:t xml:space="preserve">COLOMBIAMODA (29 al 31 julio 2025). •</w:t>
      </w:r>
      <w:r>
        <w:rPr>
          <w:rFonts w:ascii="Arial" w:hAnsi="Arial" w:eastAsia="Arial" w:cs="Arial"/>
          <w:color w:val="000000"/>
          <w:sz w:val="18"/>
          <w:szCs w:val="18"/>
        </w:rPr>
        <w:t xml:space="preserve">	</w:t>
      </w:r>
      <w:r>
        <w:rPr>
          <w:rFonts w:ascii="Arial" w:hAnsi="Arial" w:eastAsia="Arial" w:cs="Arial"/>
          <w:color w:val="000000"/>
          <w:sz w:val="18"/>
          <w:szCs w:val="18"/>
        </w:rPr>
        <w:t xml:space="preserve">Feria de Flores (01 al 10 agosto 2025).</w:t>
      </w:r>
      <w:r>
        <w:rPr>
          <w:rFonts w:ascii="Arial" w:hAnsi="Arial" w:eastAsia="Arial" w:cs="Arial"/>
          <w:color w:val="000000"/>
          <w:sz w:val="19.199999999999999289457264239899814128875732421875"/>
          <w:szCs w:val="19.199999999999999289457264239899814128875732421875"/>
        </w:rPr>
        <w:t xml:space="preserve">– Fechas que no aplican en Santa Marta por los siguientes eventos fijos anuales: </w:t>
      </w:r>
      <w:r>
        <w:rPr>
          <w:rFonts w:ascii="Arial" w:hAnsi="Arial" w:eastAsia="Arial" w:cs="Arial"/>
          <w:color w:val="000000"/>
        </w:rPr>
        <w:t xml:space="preserve">•</w:t>
      </w:r>
      <w:r>
        <w:rPr>
          <w:rFonts w:ascii="Arial" w:hAnsi="Arial" w:eastAsia="Arial" w:cs="Arial"/>
          <w:color w:val="000000"/>
        </w:rPr>
        <w:t xml:space="preserve">	</w:t>
      </w:r>
      <w:r>
        <w:rPr>
          <w:rFonts w:ascii="Arial" w:hAnsi="Arial" w:eastAsia="Arial" w:cs="Arial"/>
          <w:color w:val="000000"/>
        </w:rPr>
        <w:t xml:space="preserve">Cada año, el Parque Tayrona cierra sus puertas al ingreso de visitantes en diferen-tes épocas para preservar la naturaleza y las tradiciones locales. </w:t>
      </w:r>
      <w:r>
        <w:rPr>
          <w:rFonts w:ascii="Arial" w:hAnsi="Arial" w:eastAsia="Arial" w:cs="Arial"/>
          <w:color w:val="000000"/>
          <w:sz w:val="18"/>
          <w:szCs w:val="18"/>
        </w:rPr>
        <w:t xml:space="preserve">Fechas de cierre para el año 2025: </w:t>
      </w:r>
      <w:r>
        <w:rPr>
          <w:rFonts w:ascii="Arial" w:hAnsi="Arial" w:eastAsia="Arial" w:cs="Arial"/>
          <w:color w:val="000000"/>
          <w:sz w:val="18"/>
          <w:szCs w:val="18"/>
        </w:rPr>
        <w:t xml:space="preserve">	</w:t>
      </w:r>
      <w:r>
        <w:rPr>
          <w:rFonts w:ascii="Arial" w:hAnsi="Arial" w:eastAsia="Arial" w:cs="Arial"/>
          <w:color w:val="000000"/>
          <w:sz w:val="18"/>
          <w:szCs w:val="18"/>
        </w:rPr>
        <w:t xml:space="preserve">Época de KUGKUI SHIKASA. Del 1 de febrero al 15 de febrero del 2025. </w:t>
      </w:r>
      <w:r>
        <w:rPr>
          <w:rFonts w:ascii="Arial" w:hAnsi="Arial" w:eastAsia="Arial" w:cs="Arial"/>
          <w:color w:val="000000"/>
          <w:sz w:val="18"/>
          <w:szCs w:val="18"/>
        </w:rPr>
        <w:t xml:space="preserve">	</w:t>
      </w:r>
      <w:r>
        <w:rPr>
          <w:rFonts w:ascii="Arial" w:hAnsi="Arial" w:eastAsia="Arial" w:cs="Arial"/>
          <w:color w:val="000000"/>
          <w:sz w:val="18"/>
          <w:szCs w:val="18"/>
        </w:rPr>
        <w:t xml:space="preserve">Época de SAKA JUSO. Del 1 de junio al 15 de junio del 2025.</w:t>
      </w:r>
      <w:r>
        <w:rPr>
          <w:rFonts w:ascii="Arial" w:hAnsi="Arial" w:eastAsia="Arial" w:cs="Arial"/>
          <w:color w:val="000000"/>
        </w:rPr>
        <w:t xml:space="preserve"></w:t>
      </w:r>
      <w:r>
        <w:rPr>
          <w:rFonts w:ascii="Arial" w:hAnsi="Arial" w:eastAsia="Arial" w:cs="Arial"/>
          <w:color w:val="000000"/>
        </w:rPr>
        <w:t xml:space="preserve">	</w:t>
      </w:r>
      <w:r>
        <w:rPr>
          <w:rFonts w:ascii="Arial" w:hAnsi="Arial" w:eastAsia="Arial" w:cs="Arial"/>
          <w:color w:val="000000"/>
        </w:rPr>
        <w:t xml:space="preserve">Desde el 9 de octubre hasta el 2 de noviembre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Vivre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Estelar Santamar</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Holiday Inn Cartagena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Best Western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Faranda Collection</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Best Western Plus</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Double Tree By Hilton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Estelar Blue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Mercure Emile</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Radisson</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Hyatt</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York Luxury</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Don Pepe Boutique</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Charleston Cartagena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Bogotá – Medellín – Santa Marta // Cartagena – Méxi-co.</w:t>
      </w:r>
    </w:p>
    <w:p>
      <w:pPr>
        <w:jc w:val="start"/>
      </w:pPr>
      <w:r>
        <w:rPr>
          <w:rFonts w:ascii="Arial" w:hAnsi="Arial" w:eastAsia="Arial" w:cs="Arial"/>
          <w:sz w:val="18"/>
          <w:szCs w:val="18"/>
        </w:rPr>
        <w:t xml:space="preserve">  ● Traslados aeropuerto – hotel – aeropuerto y entre ciudades.</w:t>
      </w:r>
    </w:p>
    <w:p>
      <w:pPr>
        <w:jc w:val="start"/>
      </w:pPr>
      <w:r>
        <w:rPr>
          <w:rFonts w:ascii="Arial" w:hAnsi="Arial" w:eastAsia="Arial" w:cs="Arial"/>
          <w:sz w:val="18"/>
          <w:szCs w:val="18"/>
        </w:rPr>
        <w:t xml:space="preserve">  ● 03 noches de alojamiento en Bogotá en el hotel seleccionado.</w:t>
      </w:r>
    </w:p>
    <w:p>
      <w:pPr>
        <w:jc w:val="start"/>
      </w:pPr>
      <w:r>
        <w:rPr>
          <w:rFonts w:ascii="Arial" w:hAnsi="Arial" w:eastAsia="Arial" w:cs="Arial"/>
          <w:sz w:val="18"/>
          <w:szCs w:val="18"/>
        </w:rPr>
        <w:t xml:space="preserve">  ● 03 noches de alojamiento en Medellín en el hotel seleccionado.</w:t>
      </w:r>
    </w:p>
    <w:p>
      <w:pPr>
        <w:jc w:val="start"/>
      </w:pPr>
      <w:r>
        <w:rPr>
          <w:rFonts w:ascii="Arial" w:hAnsi="Arial" w:eastAsia="Arial" w:cs="Arial"/>
          <w:sz w:val="18"/>
          <w:szCs w:val="18"/>
        </w:rPr>
        <w:t xml:space="preserve">  ● 02 noches de alojamiento en Santa Marta en el hotel seleccionado.</w:t>
      </w:r>
    </w:p>
    <w:p>
      <w:pPr>
        <w:jc w:val="start"/>
      </w:pPr>
      <w:r>
        <w:rPr>
          <w:rFonts w:ascii="Arial" w:hAnsi="Arial" w:eastAsia="Arial" w:cs="Arial"/>
          <w:sz w:val="18"/>
          <w:szCs w:val="18"/>
        </w:rPr>
        <w:t xml:space="preserve">  ● 03 noches de alojamiento en Cartagena en el hotel seleccionado.</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E952A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D1367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8778B9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ohf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2025-04-15T11:47:09-06:00</dcterms:created>
  <dcterms:modified xsi:type="dcterms:W3CDTF">2025-04-15T11:47:09-06:00</dcterms:modified>
</cp:coreProperties>
</file>

<file path=docProps/custom.xml><?xml version="1.0" encoding="utf-8"?>
<Properties xmlns="http://schemas.openxmlformats.org/officeDocument/2006/custom-properties" xmlns:vt="http://schemas.openxmlformats.org/officeDocument/2006/docPropsVTypes"/>
</file>