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Fantasía en Europa</w:t>
      </w:r>
    </w:p>
    <w:p>
      <w:pPr>
        <w:jc w:val="start"/>
      </w:pPr>
      <w:r>
        <w:rPr>
          <w:rFonts w:ascii="Arial" w:hAnsi="Arial" w:eastAsia="Arial" w:cs="Arial"/>
          <w:sz w:val="22.5"/>
          <w:szCs w:val="22.5"/>
          <w:b w:val="1"/>
          <w:bCs w:val="1"/>
        </w:rPr>
        <w:t xml:space="preserve">MTSV-12001  </w:t>
      </w:r>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$3099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Italia, Suiza.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Barcelona, Niza, Roma, Florencia, Venecia, Zúrich, París, Burdeos,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con destino al aeropuerto de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 Barajas. Asistencia y traslado al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y resto del día libre.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Recomendamos una excursión opcional a la monumental ciudad de Toledo.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ZARAGOZA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BARCELONA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cruzar la frontera francesa y bordeando la Costa Azul y atravesando la región de la Provenza Francesa llegaremos a Niza, capital de la Costa Azul y uno de los centros turísticos más importantes de la zona. Posibilidad de participar en una excursión opcional para conocer el Principado de Mónaco visitando la parte histórica, así como la colina de Montecarlo donde se encuentra su famoso casino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NIZA - PISA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 incomparable autopista de las flores, hacia Pisa para conocer la Plaza de los Milagros, donde podremos contemplar el conjunto monumental compuesto por la Catedral, Baptisterio y el Campanile, la famosa Torre Inclinada. Continuación hacia 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primera hora de la mañana iniciaremos nuestra visita panorámica de la Roma Imperial con los Foros Imperiales, Coliseo, Arco de Constantino, Termas de Caracalla, Circo Máximohellip; Al finalizar la visita asistiremos a la AUDIENCIA PAPAL (si el Santo Padre se encuentra en el Vaticano). Resto de la mañana para visitar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los famosos Museos Vaticanos, Capilla Sixtina, con los frescos de Miguel Angel y el interior de la Basílica de San Pedro</w:t>
      </w:r>
    </w:p>
    <w:p>
      <w:pPr>
        <w:jc w:val="both"/>
      </w:pPr>
      <w:r>
        <w:rPr>
          <w:rFonts w:ascii="Arial" w:hAnsi="Arial" w:eastAsia="Arial" w:cs="Arial"/>
          <w:sz w:val="18"/>
          <w:szCs w:val="18"/>
        </w:rPr>
        <w:t xml:space="preserve">, todo ello utilizando nuestras reservas exclusivas, que le evitarán largas esperas en el ingreso. Por la tarde podrá realizar una visita opcional para conocer la Roma Barroca, con sus famosas fuentes, plazas y palacios papales, desde los que se gobernaron los Estados Pontificios.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la excursión a Nápoles</w:t>
      </w:r>
    </w:p>
    <w:p>
      <w:pPr>
        <w:jc w:val="both"/>
      </w:pPr>
      <w:r>
        <w:rPr>
          <w:rFonts w:ascii="Arial" w:hAnsi="Arial" w:eastAsia="Arial" w:cs="Arial"/>
          <w:sz w:val="18"/>
          <w:szCs w:val="18"/>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ROMA - FLORENCIA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della Signoria, Ponte Vecchiohellip;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FLORENCIA - VENECIA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opcional en Góndola</w:t>
      </w:r>
    </w:p>
    <w:p>
      <w:pPr>
        <w:jc w:val="both"/>
      </w:pPr>
      <w:r>
        <w:rPr>
          <w:rFonts w:ascii="Arial" w:hAnsi="Arial" w:eastAsia="Arial" w:cs="Arial"/>
          <w:sz w:val="18"/>
          <w:szCs w:val="18"/>
        </w:rPr>
        <w:t xml:space="preserve"> por los canales y una exclusiva navegación por la Laguna Veneciana.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LUCERNA - ZúRICH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cruzar la frontera con Suiza y llegar a Lucerna, ciudad medieval situada a orillas del Lago de los Cuatro Cantones, famosa por su bello puente de madera, uno de los más antiguos de Europa. Tiempo libre. Opcionalmente podrá realizar una excursión a la región alpina Klewenalp-Stockhuuml;tte (1.593 mts), ascendiendo en el teleférico aéreo más largo de la Suiza Central, que nos llevará al corazón de los Alpes. Continuación a Zúrich, importante centro financiero de Suiza.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ZúRICH - BASILEA - PARíS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ciudad cultural de Basilea, situada a orilla del río Rhin. Breve tiempo libre. Una vez cruzada la frontera con Francia seguiremos nuestro viaje hacia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Esta primera noche se podrá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de París Iluminado</w:t>
      </w:r>
    </w:p>
    <w:p>
      <w:pPr>
        <w:jc w:val="both"/>
      </w:pPr>
      <w:r>
        <w:rPr>
          <w:rFonts w:ascii="Arial" w:hAnsi="Arial" w:eastAsia="Arial" w:cs="Arial"/>
          <w:sz w:val="18"/>
          <w:szCs w:val="18"/>
        </w:rPr>
        <w:t xml:space="preserve"> para familiarizarse con la bella capital francesa.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magnífico Palacio de Versalles</w:t>
      </w:r>
    </w:p>
    <w:p>
      <w:pPr>
        <w:jc w:val="both"/>
      </w:pPr>
      <w:r>
        <w:rPr>
          <w:rFonts w:ascii="Arial" w:hAnsi="Arial" w:eastAsia="Arial" w:cs="Arial"/>
          <w:sz w:val="18"/>
          <w:szCs w:val="18"/>
        </w:rPr>
        <w:t xml:space="preserve">,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Latin o Lido.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alguna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 y un crucero por el río Sena</w:t>
      </w:r>
    </w:p>
    <w:p>
      <w:pPr>
        <w:jc w:val="both"/>
      </w:pPr>
      <w:r>
        <w:rPr>
          <w:rFonts w:ascii="Arial" w:hAnsi="Arial" w:eastAsia="Arial" w:cs="Arial"/>
          <w:sz w:val="18"/>
          <w:szCs w:val="18"/>
        </w:rPr>
        <w:t xml:space="preserve">, o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de día completo a la ciudad de Brujas, en Bélgica</w:t>
      </w:r>
    </w:p>
    <w:p>
      <w:pPr>
        <w:jc w:val="both"/>
      </w:pPr>
      <w:r>
        <w:rPr>
          <w:rFonts w:ascii="Arial" w:hAnsi="Arial" w:eastAsia="Arial" w:cs="Arial"/>
          <w:sz w:val="18"/>
          <w:szCs w:val="18"/>
        </w:rPr>
        <w:t xml:space="preserve">, donde podrá disfrutar de un crucero por los canales, en esta romántica ciudad, en época de verano y en invierno se sustituirá por la visita al Ayuntamiento Medieval.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PARíS - BLOIS - VALLE DEL LOIRA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BURDEOS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española y adentrándonos en el norte de España, vía San Sebastián y Burgos, llegaremos a la capital de España,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EL SALVADOR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de retorno.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TURISTA</w:t>
            </w:r>
          </w:p>
        </w:tc>
        <w:tc>
          <w:tcPr>
            <w:tcW w:w="4000" w:type="pct"/>
          </w:tcPr>
          <w:p>
            <w:pPr/>
            <w:r>
              <w:rPr>
                <w:rFonts w:ascii="Arial" w:hAnsi="Arial" w:eastAsia="Arial" w:cs="Arial"/>
                <w:color w:val="000000"/>
                <w:sz w:val="18"/>
                <w:szCs w:val="18"/>
                <w:b w:val="1"/>
                <w:bCs w:val="1"/>
              </w:rPr>
              <w:t xml:space="preserve">$3,099</w:t>
            </w:r>
          </w:p>
        </w:tc>
        <w:tc>
          <w:tcPr>
            <w:tcW w:w="4000" w:type="pct"/>
          </w:tcPr>
          <w:p>
            <w:pPr/>
            <w:r>
              <w:rPr>
                <w:rFonts w:ascii="Arial" w:hAnsi="Arial" w:eastAsia="Arial" w:cs="Arial"/>
                <w:color w:val="000000"/>
                <w:sz w:val="18"/>
                <w:szCs w:val="18"/>
                <w:b w:val="1"/>
                <w:bCs w:val="1"/>
              </w:rPr>
              <w:t xml:space="preserve">$3,099</w:t>
            </w:r>
          </w:p>
        </w:tc>
        <w:tc>
          <w:tcPr>
            <w:tcW w:w="4000" w:type="pct"/>
          </w:tcPr>
          <w:p>
            <w:pPr/>
            <w:r>
              <w:rPr>
                <w:rFonts w:ascii="Arial" w:hAnsi="Arial" w:eastAsia="Arial" w:cs="Arial"/>
                <w:color w:val="000000"/>
                <w:sz w:val="18"/>
                <w:szCs w:val="18"/>
                <w:b w:val="1"/>
                <w:bCs w:val="1"/>
              </w:rPr>
              <w:t xml:space="preserve">$4,498</w:t>
            </w:r>
          </w:p>
        </w:tc>
        <w:tc>
          <w:tcPr>
            <w:tcW w:w="4000" w:type="pct"/>
          </w:tcPr>
          <w:p>
            <w:pPr/>
            <w:r>
              <w:rPr>
                <w:rFonts w:ascii="Arial" w:hAnsi="Arial" w:eastAsia="Arial" w:cs="Arial"/>
                <w:color w:val="000000"/>
                <w:sz w:val="18"/>
                <w:szCs w:val="18"/>
                <w:b w:val="1"/>
                <w:bCs w:val="1"/>
              </w:rPr>
              <w:t xml:space="preserve">$2,899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 / AGUMAR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GRAN HOTEL VERDI (SABADELL)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HESPERIA SANT JUST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NICE AIRPORT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PROMENADE DES ANGLAIS.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PAPILLO HOTEL ROMA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NOVOLI</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HOTEL 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HOTEL RUSSOT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Z</w:t>
            </w:r>
            <w:r>
              <w:rPr>
                <w:rFonts w:ascii="Arial" w:hAnsi="Arial" w:eastAsia="Arial" w:cs="Arial"/>
                <w:color w:val="000000"/>
                <w:sz w:val="18"/>
                <w:szCs w:val="18"/>
              </w:rPr>
              <w:t xml:space="preserve">úRICH</w:t>
            </w:r>
          </w:p>
        </w:tc>
        <w:tc>
          <w:tcPr>
            <w:tcW w:w="4000" w:type="pct"/>
          </w:tcPr>
          <w:p>
            <w:pPr/>
            <w:r>
              <w:rPr>
                <w:rFonts w:ascii="Arial" w:hAnsi="Arial" w:eastAsia="Arial" w:cs="Arial"/>
                <w:color w:val="000000"/>
                <w:sz w:val="18"/>
                <w:szCs w:val="18"/>
              </w:rPr>
              <w:t xml:space="preserve">INTERCITY ZURICH AIRPORT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ZURICH AIRPORT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w:t>
            </w:r>
            <w:r>
              <w:rPr>
                <w:rFonts w:ascii="Arial" w:hAnsi="Arial" w:eastAsia="Arial" w:cs="Arial"/>
                <w:color w:val="000000"/>
                <w:sz w:val="18"/>
                <w:szCs w:val="18"/>
              </w:rPr>
              <w:t xml:space="preserve">íS LA VILLETTE CIT</w:t>
            </w:r>
            <w:r>
              <w:rPr>
                <w:rFonts w:ascii="Arial" w:hAnsi="Arial" w:eastAsia="Arial" w:cs="Arial"/>
                <w:color w:val="000000"/>
                <w:sz w:val="18"/>
                <w:szCs w:val="18"/>
              </w:rPr>
              <w:t xml:space="preserve">é DES SCIENCES 19EME.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CAMPANILE BORDEAUX LE LAC.</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LES B</w:t>
            </w:r>
            <w:r>
              <w:rPr>
                <w:rFonts w:ascii="Arial" w:hAnsi="Arial" w:eastAsia="Arial" w:cs="Arial"/>
                <w:color w:val="000000"/>
                <w:sz w:val="18"/>
                <w:szCs w:val="18"/>
              </w:rPr>
              <w:t xml:space="preserve">Egrave;GLES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BASSIN </w:t>
            </w:r>
            <w:r>
              <w:rPr>
                <w:rFonts w:ascii="Arial" w:hAnsi="Arial" w:eastAsia="Arial" w:cs="Arial"/>
                <w:color w:val="000000"/>
                <w:sz w:val="18"/>
                <w:szCs w:val="18"/>
              </w:rPr>
              <w:t xml:space="preserve">á FLOT.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Tiquetes aéreos. </w:t>
      </w: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Autocar de lujo con Wifi, gratuito.</w:t>
      </w:r>
    </w:p>
    <w:p>
      <w:pPr>
        <w:jc w:val="start"/>
      </w:pPr>
      <w:r>
        <w:rPr>
          <w:rFonts w:ascii="Arial" w:hAnsi="Arial" w:eastAsia="Arial" w:cs="Arial"/>
          <w:sz w:val="18"/>
          <w:szCs w:val="18"/>
        </w:rPr>
        <w:t xml:space="preserve">  ● Guía acompañante.</w:t>
      </w:r>
    </w:p>
    <w:p>
      <w:pPr>
        <w:jc w:val="start"/>
      </w:pPr>
      <w:r>
        <w:rPr>
          <w:rFonts w:ascii="Arial" w:hAnsi="Arial" w:eastAsia="Arial" w:cs="Arial"/>
          <w:sz w:val="18"/>
          <w:szCs w:val="18"/>
        </w:rPr>
        <w:t xml:space="preserve">  ● Visita con guía local en Madrid, Roma, Florencia, Venecia y París.</w:t>
      </w:r>
    </w:p>
    <w:p>
      <w:pPr>
        <w:jc w:val="start"/>
      </w:pPr>
      <w:r>
        <w:rPr>
          <w:rFonts w:ascii="Arial" w:hAnsi="Arial" w:eastAsia="Arial" w:cs="Arial"/>
          <w:sz w:val="18"/>
          <w:szCs w:val="18"/>
        </w:rPr>
        <w:t xml:space="preserve">  ● Desayuno buffet diario.</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Neceser de viaje con amenities.</w:t>
      </w:r>
    </w:p>
    <w:p>
      <w:pPr>
        <w:jc w:val="start"/>
      </w:pPr>
      <w:r>
        <w:rPr>
          <w:rFonts w:ascii="Arial" w:hAnsi="Arial" w:eastAsia="Arial" w:cs="Arial"/>
          <w:sz w:val="18"/>
          <w:szCs w:val="18"/>
        </w:rPr>
        <w:t xml:space="preserve">  ● Tasas Municipales en Barcelona, Francia e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Cualquier servicio no especificado en “El precio incluye”.</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rPr>
        <w:t xml:space="preserve">Durante la celebración de Ferias, Congresos, Olimpiadas y Vinitech, el alojamiento podrá ser desviado a poblaciones cercanas a Barcelona, París y Burdeos.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10" w:history="1">
        <w:r>
          <w:rPr/>
          <w:t xml:space="preserve">fuentes oficiales.</w:t>
        </w:r>
      </w:hyperlink>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5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5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yperlink" Target="https://www.interieur.gouv.fr/covid-19/deplacements-internationau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2025-12-06T17:29:56-06:00</dcterms:created>
  <dcterms:modified xsi:type="dcterms:W3CDTF">2025-12-06T17:29:56-06:00</dcterms:modified>
</cp:coreProperties>
</file>

<file path=docProps/custom.xml><?xml version="1.0" encoding="utf-8"?>
<Properties xmlns="http://schemas.openxmlformats.org/officeDocument/2006/custom-properties" xmlns:vt="http://schemas.openxmlformats.org/officeDocument/2006/docPropsVTypes"/>
</file>