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Dulce Europa</w:t>
      </w:r>
    </w:p>
    <w:p>
      <w:pPr>
        <w:jc w:val="start"/>
      </w:pPr>
      <w:r>
        <w:rPr>
          <w:rFonts w:ascii="Arial" w:hAnsi="Arial" w:eastAsia="Arial" w:cs="Arial"/>
          <w:sz w:val="22.5"/>
          <w:szCs w:val="22.5"/>
          <w:b w:val="1"/>
          <w:bCs w:val="1"/>
        </w:rPr>
        <w:t xml:space="preserve">MTSV-12003  </w:t>
      </w:r>
    </w:p>
    <w:p>
      <w:pPr>
        <w:jc w:val="start"/>
      </w:pPr>
      <w:r>
        <w:rPr>
          <w:rFonts w:ascii="Arial" w:hAnsi="Arial" w:eastAsia="Arial" w:cs="Arial"/>
          <w:sz w:val="22.5"/>
          <w:szCs w:val="22.5"/>
          <w:b w:val="1"/>
          <w:bCs w:val="1"/>
        </w:rPr>
        <w:t xml:space="preserve">20 días y 18 noches</w:t>
      </w:r>
    </w:p>
    <w:p>
      <w:pPr>
        <w:jc w:val="start"/>
      </w:pPr>
    </w:p>
    <w:p>
      <w:pPr>
        <w:jc w:val="center"/>
        <w:spacing w:before="450"/>
      </w:pPr>
      <w:r>
        <w:rPr>
          <w:rFonts w:ascii="Arial" w:hAnsi="Arial" w:eastAsia="Arial" w:cs="Arial"/>
          <w:sz w:val="33"/>
          <w:szCs w:val="33"/>
        </w:rPr>
        <w:t xml:space="preserve">Desde $2410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sábados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Alemania, Austria, Italia.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Burdeos, Valle del Loira, Blois, París, Heidelberg, Múnich, Innsbruck, Verona, Venecia, Florencia, Roma, Pisa, Niza, Barcelona.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Internacional San Oscar Arnulfo Romero hacia Madrid (Vuelo NO incluido).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internacional de Madrid - Barajas. Asistencia y traslado al hotel.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con amplio recorrido a través de sus más importantes avenidas, plazas y edificios. Resto del día libre para compras o actividades personales. Recomendamos una excursión opcional a la monumental ciudad de Toledo.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MADRID - BURDEOS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con dirección al norte de España vía Burgos y San Sebastián hacia la frontera francesa y cruzando los Pirineos llegaremos a la ciudad de Burdeos, capital de Aquitania y Patrimonio de la Humanidad, importante región vinícola.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BURDEOS - VALLE DEL LOIRA - BLOIS -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vía Poitiers y Tours, donde se inicia un breve recorrido por el fértil Valle del Loira. Parada en Blois, ciudad emblemática por su bello castillo, con la fachada renacentista más representativa del Valle. Posteriormente continuamos hasta París. Esta primera noche se podrá realizar una visita opcional de París Iluminado para familiarizarse con la bella capital francesa, y un evocador crucero por el río Sena.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Campos de Marte para fotografiar la Torre Eiffel. Por la tarde recomendamos realizar una excursión opcional al magnífico Palacio de Versalles, declarado Patrimonio de la Humanidad, para conocer su imponente arquitectura y sus bellos jardines. Por la noche, opcionalmente podrá asistir a uno de los famosos espectáculos de París Latin o Lido.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actividades personales. Recomendamos, por la mañana, realizar nuestra excursión opcional, visitando el barrio de Montmartre o barrio Latino, así como el Museo del Louvre, con obras tan importantes como 'La Mona Lisa', 'La Victoria de Samotracia', o 'La Venus de Milo'. Asimismo, podrá continuar descubriendo otros rincones con encanto de esta ciudad cosmopolita.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PARíS - HEIDELBERG</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por las antiguas regiones de Champagne y Les Ardenes hacia la frontera alemana para llegar a Heidelberg, antigua ciudad universitaria. Tiempo libre para callejear por sus típicas calles y contemplar en lo alto los restos de su majestuoso castillo. Posteriormente llegada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HEIDELBERG - RUTA ROMáNTICA - MúNICH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Rotemburgo. Tiempo libre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universitario de Alemania. Posibilidad de realizar una visita opcional para conocer los lugares más emblemáticos de la ciudad.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MúNICH - INNSBRUCK - VERONA - VENECIA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frontera austriaca, entre inigualables paisajes alpinos para llegar a Innsbruck, capital del Tirol. Tiempo libre. Continuaremos por la autopista atravesando el impresionante Paso Alpino de Brenner, con uno de los puentes más altos de Europa 'Europabruuml;cke' hacia Italia para llegar a Verona, ciudad inmortalizada por William Shakespeare en su obra 'Romeo y Julieta'. Continuación del viaje hasta Venecia.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VENECIA - FLORENCIA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el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FLORENCIA  -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Visita panorámica a pie de esta ciudad rebosante de Arte, Historia y Cultura, por donde pasaron Miguel Angel o Dante Alighieri. Conoceremos sus importantes joyas arquitectónicas: la Catedral de Santa María dei Fiori, con su bello Campanile y el Baptisterio con las famosas puertas del Paraíso de Ghiberti, la Plaza della Signoria, Ponte Vecchiohellip; Posteriormente salida hacia Roma. Posibilidad de realizar una visita opcional para conocer la Roma Barroca, con sus famosas fuentes, plazas y palacios papales, desde los que se gobernaron los Estados Pontificios.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ROMA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Visita panorámica de la Ciudad Imperial, Piazza Venecia, Foros Imperiales, Coliseo, Arco de Constantino, Circo Máximo, y la imponente Plaza de San Pedro en el Vaticano. Posibilidad de visitar, opcionalmente, los famosos Museos Vaticanos, Capilla Sixtina con los frescos de Miguel Angel y el interior de la Basílica de San Pedro, utilizando nuestras reservas exclusivas, evitando así las largas esperas de ingreso.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ROMA - PISA - NIZA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Pisa, con tiempo para conocer la Plaza de los Milagros, donde podremos contemplar el conjunto monumental compuesto por la Catedral, Baptisterio y el Campanile, la famosa Torre Inclinada. Continuación por la incomparable autopista de las flores hacia Niza, capital de la Costa Azul. Posibilidad de participar en una excursión opcional para conocer el Principado de Mónaco visitando la parte histórica, así como la colina de Montecarlo donde se encuentra su famoso casino.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NIZA - BARCELONA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Amatller, Morera, Milá, Sagrada Familiahellip;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BARCELONA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a su disposición para seguir visitando la ciudad Condal por su cuenta, admirar sus edificios, plazas, calles, etc.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18 BARCELONA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a su disposición.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19 BARCELONA - ZARAGOZA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Zaragoza. Breve parada para conocer la Catedral-Basílica de Nuestra Señora del Pilar, Patrona de la Hispanidad. Posteriormente, continuación a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20 MADRID  -  EL SALVADOR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fin de nuestros servicios. A la hora indicada tomar vuelo con destino a El Salvador. (No incluye traslado)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tblGrid>
      <w:tblPr>
        <w:tblW w:w="4000" w:type="pct"/>
        <w:tblLayout w:type="autofit"/>
        <w:bidiVisual w:val="0"/>
      </w:tblPr>
      <w:tr>
        <w:trPr/>
        <w:tc>
          <w:tcPr>
            <w:tcW w:w="4000" w:type="pct"/>
            <w:gridSpan w:val="4"/>
          </w:tcPr>
          <w:p>
            <w:pPr/>
            <w:r>
              <w:rPr>
                <w:rFonts w:ascii="Arial" w:hAnsi="Arial" w:eastAsia="Arial" w:cs="Arial"/>
                <w:color w:val="000000"/>
                <w:sz w:val="18"/>
                <w:szCs w:val="18"/>
                <w:b w:val="1"/>
                <w:bCs w:val="1"/>
              </w:rPr>
              <w:t xml:space="preserve">TARIFAS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Fechas</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Fechas</w:t>
            </w:r>
          </w:p>
        </w:tc>
        <w:tc>
          <w:tcPr>
            <w:tcW w:w="4000" w:type="pct"/>
          </w:tcPr>
          <w:p>
            <w:pPr/>
            <w:r>
              <w:rPr>
                <w:rFonts w:ascii="Arial" w:hAnsi="Arial" w:eastAsia="Arial" w:cs="Arial"/>
                <w:color w:val="000000"/>
                <w:sz w:val="18"/>
                <w:szCs w:val="18"/>
                <w:b w:val="1"/>
                <w:bCs w:val="1"/>
              </w:rPr>
              <w:t xml:space="preserve">Suplemento hab. individual</w:t>
            </w:r>
          </w:p>
        </w:tc>
      </w:tr>
      <w:tr>
        <w:trPr/>
        <w:tc>
          <w:tcPr>
            <w:tcW w:w="4000" w:type="pct"/>
          </w:tcPr>
          <w:p>
            <w:pPr/>
            <w:r>
              <w:rPr>
                <w:rFonts w:ascii="Arial" w:hAnsi="Arial" w:eastAsia="Arial" w:cs="Arial"/>
                <w:color w:val="000000"/>
                <w:sz w:val="18"/>
                <w:szCs w:val="18"/>
              </w:rPr>
              <w:t xml:space="preserve">Desde 26/OCT/2024			Hasta 15/MAR/2025</w:t>
            </w:r>
          </w:p>
        </w:tc>
        <w:tc>
          <w:tcPr>
            <w:tcW w:w="4000" w:type="pct"/>
          </w:tcPr>
          <w:p>
            <w:pPr/>
            <w:r>
              <w:rPr>
                <w:rFonts w:ascii="Arial" w:hAnsi="Arial" w:eastAsia="Arial" w:cs="Arial"/>
                <w:color w:val="000000"/>
                <w:sz w:val="18"/>
                <w:szCs w:val="18"/>
              </w:rPr>
              <w:t xml:space="preserve">$2,410</w:t>
            </w:r>
          </w:p>
        </w:tc>
        <w:tc>
          <w:tcPr>
            <w:tcW w:w="4000" w:type="pct"/>
          </w:tcPr>
          <w:p>
            <w:pPr/>
            <w:r>
              <w:rPr>
                <w:rFonts w:ascii="Arial" w:hAnsi="Arial" w:eastAsia="Arial" w:cs="Arial"/>
                <w:color w:val="000000"/>
                <w:sz w:val="18"/>
                <w:szCs w:val="18"/>
              </w:rPr>
              <w:t xml:space="preserve">Desde 6/JUL/2024			Hasta 14/SEP/2024</w:t>
            </w:r>
          </w:p>
        </w:tc>
        <w:tc>
          <w:tcPr>
            <w:tcW w:w="4000" w:type="pct"/>
          </w:tcPr>
          <w:p>
            <w:pPr/>
            <w:r>
              <w:rPr>
                <w:rFonts w:ascii="Arial" w:hAnsi="Arial" w:eastAsia="Arial" w:cs="Arial"/>
                <w:color w:val="000000"/>
                <w:sz w:val="18"/>
                <w:szCs w:val="18"/>
              </w:rPr>
              <w:t xml:space="preserve">$1,570</w:t>
            </w:r>
          </w:p>
        </w:tc>
      </w:tr>
      <w:tr>
        <w:trPr/>
        <w:tc>
          <w:tcPr>
            <w:tcW w:w="4000" w:type="pct"/>
          </w:tcPr>
          <w:p>
            <w:pPr/>
            <w:r>
              <w:rPr>
                <w:rFonts w:ascii="Arial" w:hAnsi="Arial" w:eastAsia="Arial" w:cs="Arial"/>
                <w:color w:val="000000"/>
                <w:sz w:val="18"/>
                <w:szCs w:val="18"/>
              </w:rPr>
              <w:t xml:space="preserve">Desde 21/SEP/2024			Hasta 19/OCT/2024</w:t>
            </w:r>
          </w:p>
        </w:tc>
        <w:tc>
          <w:tcPr>
            <w:tcW w:w="4000" w:type="pct"/>
          </w:tcPr>
          <w:p>
            <w:pPr/>
            <w:r>
              <w:rPr>
                <w:rFonts w:ascii="Arial" w:hAnsi="Arial" w:eastAsia="Arial" w:cs="Arial"/>
                <w:color w:val="000000"/>
                <w:sz w:val="18"/>
                <w:szCs w:val="18"/>
              </w:rPr>
              <w:t xml:space="preserve">$2,730</w:t>
            </w:r>
          </w:p>
        </w:tc>
      </w:tr>
      <w:tr>
        <w:trPr/>
        <w:tc>
          <w:tcPr>
            <w:tcW w:w="4000" w:type="pct"/>
          </w:tcPr>
          <w:p>
            <w:pPr/>
            <w:r>
              <w:rPr>
                <w:rFonts w:ascii="Arial" w:hAnsi="Arial" w:eastAsia="Arial" w:cs="Arial"/>
                <w:color w:val="000000"/>
                <w:sz w:val="18"/>
                <w:szCs w:val="18"/>
              </w:rPr>
              <w:t xml:space="preserve">Desde 6/JUL/2024			Hasta 14/SEP/2024</w:t>
            </w:r>
          </w:p>
        </w:tc>
        <w:tc>
          <w:tcPr>
            <w:tcW w:w="4000" w:type="pct"/>
          </w:tcPr>
          <w:p>
            <w:pPr/>
            <w:r>
              <w:rPr>
                <w:rFonts w:ascii="Arial" w:hAnsi="Arial" w:eastAsia="Arial" w:cs="Arial"/>
                <w:color w:val="000000"/>
                <w:sz w:val="18"/>
                <w:szCs w:val="18"/>
              </w:rPr>
              <w:t xml:space="preserve">$3,020</w:t>
            </w:r>
          </w:p>
        </w:tc>
        <w:tc>
          <w:tcPr>
            <w:tcW w:w="4000" w:type="pct"/>
          </w:tcPr>
          <w:p>
            <w:pPr/>
            <w:r>
              <w:rPr>
                <w:rFonts w:ascii="Arial" w:hAnsi="Arial" w:eastAsia="Arial" w:cs="Arial"/>
                <w:color w:val="000000"/>
                <w:sz w:val="18"/>
                <w:szCs w:val="18"/>
              </w:rPr>
              <w:t xml:space="preserve">Desde 21/SEP/2024			Hasta 15/MAR/2025</w:t>
            </w:r>
          </w:p>
        </w:tc>
        <w:tc>
          <w:tcPr>
            <w:tcW w:w="4000" w:type="pct"/>
          </w:tcPr>
          <w:p>
            <w:pPr/>
            <w:r>
              <w:rPr>
                <w:rFonts w:ascii="Arial" w:hAnsi="Arial" w:eastAsia="Arial" w:cs="Arial"/>
                <w:color w:val="000000"/>
                <w:sz w:val="18"/>
                <w:szCs w:val="18"/>
              </w:rPr>
              <w:t xml:space="preserve">$1,300</w:t>
            </w:r>
          </w:p>
        </w:tc>
      </w:tr>
      <w:tr>
        <w:trPr/>
        <w:tc>
          <w:tcPr>
            <w:tcW w:w="4000" w:type="pct"/>
            <w:gridSpan w:val="4"/>
          </w:tcPr>
          <w:p>
            <w:pPr>
              <w:jc w:val="start"/>
            </w:pPr>
            <w:r>
              <w:rPr>
                <w:rFonts w:ascii="Arial" w:hAnsi="Arial" w:eastAsia="Arial" w:cs="Arial"/>
                <w:color w:val="000000"/>
                <w:sz w:val="18"/>
                <w:szCs w:val="18"/>
                <w:b w:val="1"/>
                <w:bCs w:val="1"/>
              </w:rPr>
              <w:t xml:space="preserve">El precio de menor se considera entre 4 a 11 aÑos y aplica solo compartiendo habitación con 2 adultos. La habitación lleva una cama supletoria (rollaway bed)</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Hotel Praga.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AC Avenida de Am</w:t>
            </w:r>
            <w:r>
              <w:rPr>
                <w:rFonts w:ascii="Arial" w:hAnsi="Arial" w:eastAsia="Arial" w:cs="Arial"/>
                <w:color w:val="000000"/>
                <w:sz w:val="18"/>
                <w:szCs w:val="18"/>
              </w:rPr>
              <w:t xml:space="preserve">érica.</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Madrid Chamartin Affiliated By Melia.</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Puerta de Toledo.</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Burdeos</w:t>
            </w:r>
          </w:p>
        </w:tc>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Bordeaux Les Begles.</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Bordeaux Bassins A Flot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Par</w:t>
            </w:r>
            <w:r>
              <w:rPr>
                <w:rFonts w:ascii="Arial" w:hAnsi="Arial" w:eastAsia="Arial" w:cs="Arial"/>
                <w:color w:val="000000"/>
                <w:sz w:val="18"/>
                <w:szCs w:val="18"/>
              </w:rPr>
              <w:t xml:space="preserve">ís</w:t>
            </w:r>
          </w:p>
        </w:tc>
        <w:tc>
          <w:tcPr>
            <w:tcW w:w="4000" w:type="pct"/>
          </w:tcPr>
          <w:p>
            <w:pPr/>
            <w:r>
              <w:rPr>
                <w:rFonts w:ascii="Arial" w:hAnsi="Arial" w:eastAsia="Arial" w:cs="Arial"/>
                <w:color w:val="000000"/>
                <w:sz w:val="18"/>
                <w:szCs w:val="18"/>
              </w:rPr>
              <w:t xml:space="preserve">Ibis Par</w:t>
            </w:r>
            <w:r>
              <w:rPr>
                <w:rFonts w:ascii="Arial" w:hAnsi="Arial" w:eastAsia="Arial" w:cs="Arial"/>
                <w:color w:val="000000"/>
                <w:sz w:val="18"/>
                <w:szCs w:val="18"/>
              </w:rPr>
              <w:t xml:space="preserve">ís Porte D</w:t>
            </w:r>
            <w:r>
              <w:rPr>
                <w:rFonts w:ascii="Arial" w:hAnsi="Arial" w:eastAsia="Arial" w:cs="Arial"/>
                <w:color w:val="000000"/>
                <w:sz w:val="18"/>
                <w:szCs w:val="18"/>
              </w:rPr>
              <w:t xml:space="preserve">#39;italie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Heidelberg</w:t>
            </w:r>
          </w:p>
        </w:tc>
        <w:tc>
          <w:tcPr>
            <w:tcW w:w="4000" w:type="pct"/>
          </w:tcPr>
          <w:p>
            <w:pPr/>
            <w:r>
              <w:rPr>
                <w:rFonts w:ascii="Arial" w:hAnsi="Arial" w:eastAsia="Arial" w:cs="Arial"/>
                <w:color w:val="000000"/>
                <w:sz w:val="18"/>
                <w:szCs w:val="18"/>
              </w:rPr>
              <w:t xml:space="preserve">NH Weinheim (weinheim)</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NH Hischberg Heidelberg</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Munich</w:t>
            </w:r>
          </w:p>
        </w:tc>
        <w:tc>
          <w:tcPr>
            <w:tcW w:w="4000" w:type="pct"/>
          </w:tcPr>
          <w:p>
            <w:pPr/>
            <w:r>
              <w:rPr>
                <w:rFonts w:ascii="Arial" w:hAnsi="Arial" w:eastAsia="Arial" w:cs="Arial"/>
                <w:color w:val="000000"/>
                <w:sz w:val="18"/>
                <w:szCs w:val="18"/>
              </w:rPr>
              <w:t xml:space="preserve">NH Ost Conference Center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NH M</w:t>
            </w:r>
            <w:r>
              <w:rPr>
                <w:rFonts w:ascii="Arial" w:hAnsi="Arial" w:eastAsia="Arial" w:cs="Arial"/>
                <w:color w:val="000000"/>
                <w:sz w:val="18"/>
                <w:szCs w:val="18"/>
              </w:rPr>
              <w:t xml:space="preserve">uuml;nchen Messe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Bento Inn Munich Messe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Venecia</w:t>
            </w:r>
          </w:p>
        </w:tc>
        <w:tc>
          <w:tcPr>
            <w:tcW w:w="4000" w:type="pct"/>
          </w:tcPr>
          <w:p>
            <w:pPr/>
            <w:r>
              <w:rPr>
                <w:rFonts w:ascii="Arial" w:hAnsi="Arial" w:eastAsia="Arial" w:cs="Arial"/>
                <w:color w:val="000000"/>
                <w:sz w:val="18"/>
                <w:szCs w:val="18"/>
              </w:rPr>
              <w:t xml:space="preserve">Alexander (mestre)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LH Hotel Sirio Venecia (mestre)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Florencia</w:t>
            </w:r>
          </w:p>
        </w:tc>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Nuovo Palazzo Di Giustizia</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Mirage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Roma</w:t>
            </w:r>
          </w:p>
        </w:tc>
        <w:tc>
          <w:tcPr>
            <w:tcW w:w="4000" w:type="pct"/>
          </w:tcPr>
          <w:p>
            <w:pPr/>
            <w:r>
              <w:rPr>
                <w:rFonts w:ascii="Arial" w:hAnsi="Arial" w:eastAsia="Arial" w:cs="Arial"/>
                <w:color w:val="000000"/>
                <w:sz w:val="18"/>
                <w:szCs w:val="18"/>
              </w:rPr>
              <w:t xml:space="preserve">Grand Hotel Fleming</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GreenPark Hotel Pamphili</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Niza</w:t>
            </w:r>
          </w:p>
        </w:tc>
        <w:tc>
          <w:tcPr>
            <w:tcW w:w="4000" w:type="pct"/>
          </w:tcPr>
          <w:p>
            <w:pPr/>
            <w:r>
              <w:rPr>
                <w:rFonts w:ascii="Arial" w:hAnsi="Arial" w:eastAsia="Arial" w:cs="Arial"/>
                <w:color w:val="000000"/>
                <w:sz w:val="18"/>
                <w:szCs w:val="18"/>
              </w:rPr>
              <w:t xml:space="preserve">Campanile Nice Aeroport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Ibis Nice Centre Gare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Nice Aeroport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Barcelona</w:t>
            </w:r>
          </w:p>
        </w:tc>
        <w:tc>
          <w:tcPr>
            <w:tcW w:w="4000" w:type="pct"/>
          </w:tcPr>
          <w:p>
            <w:pPr/>
            <w:r>
              <w:rPr>
                <w:rFonts w:ascii="Arial" w:hAnsi="Arial" w:eastAsia="Arial" w:cs="Arial"/>
                <w:color w:val="000000"/>
                <w:sz w:val="18"/>
                <w:szCs w:val="18"/>
              </w:rPr>
              <w:t xml:space="preserve">Catalonia Park G</w:t>
            </w:r>
            <w:r>
              <w:rPr>
                <w:rFonts w:ascii="Arial" w:hAnsi="Arial" w:eastAsia="Arial" w:cs="Arial"/>
                <w:color w:val="000000"/>
                <w:sz w:val="18"/>
                <w:szCs w:val="18"/>
              </w:rPr>
              <w:t xml:space="preserve">uuml;ell</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Catalonia Park Putxet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Novotel Barcelona Cornella (cornella)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Fira Congress</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Exe Moncloa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Eurostars Central</w:t>
            </w:r>
          </w:p>
        </w:tc>
        <w:tc>
          <w:tcPr>
            <w:tcW w:w="4000" w:type="pct"/>
          </w:tcPr>
          <w:p>
            <w:pPr/>
            <w:r>
              <w:rPr>
                <w:rFonts w:ascii="Arial" w:hAnsi="Arial" w:eastAsia="Arial" w:cs="Arial"/>
                <w:color w:val="000000"/>
                <w:sz w:val="18"/>
                <w:szCs w:val="18"/>
              </w:rPr>
              <w:t xml:space="preserve">Primera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bl>
    <w:p>
      <w:pPr>
        <w:jc w:val="start"/>
      </w:pPr>
      <w:r>
        <w:rPr>
          <w:rFonts w:ascii="Arial" w:hAnsi="Arial" w:eastAsia="Arial" w:cs="Arial"/>
          <w:sz w:val="22.5"/>
          <w:szCs w:val="22.5"/>
          <w:b w:val="1"/>
          <w:bCs w:val="1"/>
        </w:rPr>
        <w:t xml:space="preserve">Precios vigentes hasta el 30/12/2024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Traslado: Llegada a Madrid.</w:t>
      </w:r>
    </w:p>
    <w:p>
      <w:pPr>
        <w:jc w:val="start"/>
      </w:pPr>
      <w:r>
        <w:rPr>
          <w:rFonts w:ascii="Arial" w:hAnsi="Arial" w:eastAsia="Arial" w:cs="Arial"/>
          <w:sz w:val="18"/>
          <w:szCs w:val="18"/>
        </w:rPr>
        <w:t xml:space="preserve">  ● 18 noches de alojamiento en categoría indicada.</w:t>
      </w:r>
    </w:p>
    <w:p>
      <w:pPr>
        <w:jc w:val="start"/>
      </w:pPr>
      <w:r>
        <w:rPr>
          <w:rFonts w:ascii="Arial" w:hAnsi="Arial" w:eastAsia="Arial" w:cs="Arial"/>
          <w:sz w:val="18"/>
          <w:szCs w:val="18"/>
        </w:rPr>
        <w:t xml:space="preserve">  ● Régimen alimenticio según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Guía profesional de habla hispana.</w:t>
      </w:r>
    </w:p>
    <w:p>
      <w:pPr>
        <w:jc w:val="start"/>
      </w:pPr>
      <w:r>
        <w:rPr>
          <w:rFonts w:ascii="Arial" w:hAnsi="Arial" w:eastAsia="Arial" w:cs="Arial"/>
          <w:sz w:val="18"/>
          <w:szCs w:val="18"/>
        </w:rPr>
        <w:t xml:space="preserve">  ● Seguro turístico.</w:t>
      </w:r>
    </w:p>
    <w:p>
      <w:pPr>
        <w:jc w:val="start"/>
      </w:pPr>
      <w:r>
        <w:rPr>
          <w:rFonts w:ascii="Arial" w:hAnsi="Arial" w:eastAsia="Arial" w:cs="Arial"/>
          <w:sz w:val="18"/>
          <w:szCs w:val="18"/>
        </w:rPr>
        <w:t xml:space="preserve">  ● Transporte en autocar turístico.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Tiquetes aéreos internacionales y/o domésticos.</w:t>
      </w:r>
    </w:p>
    <w:p>
      <w:pPr>
        <w:jc w:val="start"/>
      </w:pPr>
      <w:r>
        <w:rPr>
          <w:rFonts w:ascii="Arial" w:hAnsi="Arial" w:eastAsia="Arial" w:cs="Arial"/>
          <w:sz w:val="18"/>
          <w:szCs w:val="18"/>
        </w:rPr>
        <w:t xml:space="preserve">  ● Gastos de índole personal.</w:t>
      </w:r>
    </w:p>
    <w:p>
      <w:pPr>
        <w:jc w:val="start"/>
      </w:pPr>
      <w:r>
        <w:rPr>
          <w:rFonts w:ascii="Arial" w:hAnsi="Arial" w:eastAsia="Arial" w:cs="Arial"/>
          <w:sz w:val="18"/>
          <w:szCs w:val="18"/>
        </w:rPr>
        <w:t xml:space="preserve">  ● Visitas opcionales o no incluidas dentro del programa.</w:t>
      </w:r>
    </w:p>
    <w:p>
      <w:pPr>
        <w:jc w:val="start"/>
      </w:pPr>
      <w:r>
        <w:rPr>
          <w:rFonts w:ascii="Arial" w:hAnsi="Arial" w:eastAsia="Arial" w:cs="Arial"/>
          <w:sz w:val="18"/>
          <w:szCs w:val="18"/>
        </w:rPr>
        <w:t xml:space="preserve">  ● Bebidas y comidas no mencionadas en el incluye.</w:t>
      </w:r>
    </w:p>
    <w:p>
      <w:pPr>
        <w:jc w:val="start"/>
      </w:pPr>
      <w:r>
        <w:rPr>
          <w:rFonts w:ascii="Arial" w:hAnsi="Arial" w:eastAsia="Arial" w:cs="Arial"/>
          <w:sz w:val="18"/>
          <w:szCs w:val="18"/>
        </w:rPr>
        <w:t xml:space="preserve">  ● Traslado de salida.</w:t>
      </w:r>
    </w:p>
    <w:p>
      <w:pPr>
        <w:jc w:val="start"/>
      </w:pPr>
      <w:r>
        <w:rPr>
          <w:rFonts w:ascii="Arial" w:hAnsi="Arial" w:eastAsia="Arial" w:cs="Arial"/>
          <w:sz w:val="18"/>
          <w:szCs w:val="18"/>
        </w:rPr>
        <w:t xml:space="preserve">  ● Cualquier servicio no especificado en “El precio incluye”.</w:t>
      </w:r>
    </w:p>
    <w:p>
      <w:pPr>
        <w:jc w:val="start"/>
      </w:pPr>
      <w:r>
        <w:rPr>
          <w:rFonts w:ascii="Arial" w:hAnsi="Arial" w:eastAsia="Arial" w:cs="Arial"/>
          <w:sz w:val="18"/>
          <w:szCs w:val="18"/>
        </w:rPr>
        <w:t xml:space="preserve">  ● Tarjeta de asistencia médica.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Media pensión</w:t>
      </w:r>
    </w:p>
    <w:p>
      <w:pPr>
        <w:jc w:val="both"/>
      </w:pPr>
      <w:r>
        <w:rPr>
          <w:rFonts w:ascii="Arial" w:hAnsi="Arial" w:eastAsia="Arial" w:cs="Arial"/>
          <w:sz w:val="18"/>
          <w:szCs w:val="18"/>
        </w:rPr>
        <w:t xml:space="preserve">: Excepto Madrid, París y Roma (9 cenas/almuerzos). Durante la celebración de Ferias, Congresos, Vinitech, Olimpiadas y Oktoberfest, el alojamiento podrá ser desviado a poblaciones cercanas de Burdeos, París, Múnich y Barcelona. Precios a partir de Marzo 22 según nuestra Programación 2025/2026.</w:t>
      </w:r>
    </w:p>
    <w:p>
      <w:pPr>
        <w:jc w:val="both"/>
      </w:pPr>
      <w:r>
        <w:rPr>
          <w:rFonts w:ascii="Arial" w:hAnsi="Arial" w:eastAsia="Arial" w:cs="Arial"/>
          <w:sz w:val="18"/>
          <w:szCs w:val="18"/>
        </w:rPr>
        <w:t xml:space="preserve">Durante la celebración de Ferias, Congresos, Vinitech, Olimpiadas y Oktoberfest, el alojamiento podrá ser desviado a poblaciones cercanas de Burdeos, París, Múnich y Barcelona</w:t>
      </w:r>
    </w:p>
    <w:p>
      <w:pPr>
        <w:jc w:val="both"/>
      </w:pPr>
      <w:r>
        <w:rPr>
          <w:rFonts w:ascii="Arial" w:hAnsi="Arial" w:eastAsia="Arial" w:cs="Arial"/>
          <w:sz w:val="18"/>
          <w:szCs w:val="18"/>
        </w:rPr>
        <w:t xml:space="preserve"> </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HOTELES</w:t>
      </w:r>
    </w:p>
    <w:p>
      <w:pPr>
        <w:jc w:val="both"/>
      </w:pPr>
      <w:r>
        <w:rPr>
          <w:rFonts w:ascii="Arial" w:hAnsi="Arial" w:eastAsia="Arial" w:cs="Arial"/>
          <w:sz w:val="18"/>
          <w:szCs w:val="18"/>
        </w:rPr>
        <w:t xml:space="preserve">HABITACIONES TRIPLES (adicional a la cama doble o 2 camas twin se otorgará una supletoria).</w:t>
      </w:r>
    </w:p>
    <w:p>
      <w:pPr>
        <w:jc w:val="both"/>
      </w:pPr>
      <w:r>
        <w:rPr>
          <w:rFonts w:ascii="Arial" w:hAnsi="Arial" w:eastAsia="Arial" w:cs="Arial"/>
          <w:sz w:val="18"/>
          <w:szCs w:val="18"/>
        </w:rPr>
        <w:t xml:space="preserve">La disponibilidad de habitaciones TRIPLES es limitada.</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ESPAÑA:</w:t>
      </w:r>
    </w:p>
    <w:p>
      <w:pPr>
        <w:jc w:val="start"/>
      </w:pPr>
      <w:r>
        <w:rPr>
          <w:rFonts w:ascii="Arial" w:hAnsi="Arial" w:eastAsia="Arial" w:cs="Arial"/>
          <w:sz w:val="18"/>
          <w:szCs w:val="18"/>
          <w:b w:val="1"/>
          <w:bCs w:val="1"/>
        </w:rPr>
        <w:t xml:space="preserve">REQUISITOS PARA INGRESAR A ESPAÑA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8" w:history="1">
        <w:r>
          <w:rPr/>
          <w:t xml:space="preserve">fuentes oficiales</w:t>
        </w:r>
      </w:hyperlink>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9" w:history="1">
        <w:r>
          <w:rPr/>
          <w:t xml:space="preserve">fuentes oficiales.</w:t>
        </w:r>
      </w:hyperlink>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8B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9E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eriores.gob.es/Consulados/mexico/es/Comunicacion/Noticias/Paginas/Articulos/RestriccionEntradaESP.aspx" TargetMode="External"/><Relationship Id="rId9" Type="http://schemas.openxmlformats.org/officeDocument/2006/relationships/hyperlink" Target="https://www.interieur.gouv.fr/covid-19/deplacements-internationau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2025-12-04T16:07:05-06:00</dcterms:created>
  <dcterms:modified xsi:type="dcterms:W3CDTF">2025-12-04T16:07:05-06:00</dcterms:modified>
</cp:coreProperties>
</file>

<file path=docProps/custom.xml><?xml version="1.0" encoding="utf-8"?>
<Properties xmlns="http://schemas.openxmlformats.org/officeDocument/2006/custom-properties" xmlns:vt="http://schemas.openxmlformats.org/officeDocument/2006/docPropsVTypes"/>
</file>